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5D0C8" w14:textId="77777777" w:rsidR="00047D8F" w:rsidRPr="0095586E" w:rsidRDefault="00047D8F" w:rsidP="00047D8F">
      <w:pPr>
        <w:ind w:left="0"/>
        <w:rPr>
          <w:rFonts w:asciiTheme="minorHAnsi" w:hAnsiTheme="minorHAnsi" w:cstheme="minorHAnsi"/>
          <w:sz w:val="22"/>
          <w:szCs w:val="22"/>
        </w:rPr>
      </w:pPr>
    </w:p>
    <w:p w14:paraId="01876905" w14:textId="622333FE" w:rsidR="00047D8F" w:rsidRDefault="00047D8F" w:rsidP="006E777A">
      <w:pPr>
        <w:keepNext/>
        <w:widowControl w:val="0"/>
        <w:numPr>
          <w:ilvl w:val="0"/>
          <w:numId w:val="1"/>
        </w:numPr>
        <w:shd w:val="clear" w:color="auto" w:fill="FFFFFF"/>
        <w:ind w:left="-90" w:right="0" w:hanging="450"/>
        <w:outlineLvl w:val="2"/>
        <w:rPr>
          <w:rFonts w:asciiTheme="minorHAnsi" w:hAnsiTheme="minorHAnsi" w:cstheme="minorHAnsi"/>
          <w:b/>
          <w:smallCaps/>
          <w:snapToGrid w:val="0"/>
          <w:sz w:val="22"/>
          <w:szCs w:val="22"/>
        </w:rPr>
      </w:pPr>
      <w:r w:rsidRPr="0095586E">
        <w:rPr>
          <w:rFonts w:asciiTheme="minorHAnsi" w:hAnsiTheme="minorHAnsi" w:cstheme="minorHAnsi"/>
          <w:b/>
          <w:smallCaps/>
          <w:snapToGrid w:val="0"/>
          <w:sz w:val="22"/>
          <w:szCs w:val="22"/>
        </w:rPr>
        <w:t>IMPLEMENTATION FEES:</w:t>
      </w:r>
    </w:p>
    <w:p w14:paraId="7B8E92C0" w14:textId="77777777" w:rsidR="006E777A" w:rsidRPr="0095586E" w:rsidRDefault="006E777A" w:rsidP="006E777A">
      <w:pPr>
        <w:keepNext/>
        <w:widowControl w:val="0"/>
        <w:shd w:val="clear" w:color="auto" w:fill="FFFFFF"/>
        <w:ind w:left="-90" w:right="0"/>
        <w:outlineLvl w:val="2"/>
        <w:rPr>
          <w:rFonts w:asciiTheme="minorHAnsi" w:hAnsiTheme="minorHAnsi" w:cstheme="minorHAnsi"/>
          <w:b/>
          <w:smallCaps/>
          <w:snapToGrid w:val="0"/>
          <w:sz w:val="22"/>
          <w:szCs w:val="22"/>
        </w:rPr>
      </w:pPr>
    </w:p>
    <w:p w14:paraId="6E8D61D1" w14:textId="0952FAE1" w:rsidR="00047D8F" w:rsidRPr="0095586E" w:rsidRDefault="00047D8F" w:rsidP="006E777A">
      <w:pPr>
        <w:numPr>
          <w:ilvl w:val="1"/>
          <w:numId w:val="3"/>
        </w:numPr>
        <w:tabs>
          <w:tab w:val="left" w:pos="1800"/>
        </w:tabs>
        <w:ind w:left="450" w:hanging="540"/>
        <w:contextualSpacing/>
        <w:rPr>
          <w:rFonts w:asciiTheme="minorHAnsi" w:hAnsiTheme="minorHAnsi" w:cstheme="minorHAnsi"/>
          <w:b/>
          <w:smallCaps/>
          <w:snapToGrid w:val="0"/>
          <w:sz w:val="22"/>
          <w:szCs w:val="22"/>
        </w:rPr>
      </w:pPr>
      <w:r w:rsidRPr="0095586E">
        <w:rPr>
          <w:rFonts w:asciiTheme="minorHAnsi" w:hAnsiTheme="minorHAnsi"/>
          <w:sz w:val="22"/>
          <w:szCs w:val="22"/>
        </w:rPr>
        <w:t xml:space="preserve">The Offeror shall propose pricing for Implementation activities. The Offeror shall propose implementation fees broken down by the five (5) milestones listed in Scope of Work:   </w:t>
      </w:r>
    </w:p>
    <w:p w14:paraId="40EE80F8" w14:textId="77777777" w:rsidR="00047D8F" w:rsidRPr="0095586E" w:rsidRDefault="00047D8F" w:rsidP="006E777A">
      <w:pPr>
        <w:numPr>
          <w:ilvl w:val="2"/>
          <w:numId w:val="3"/>
        </w:numPr>
        <w:tabs>
          <w:tab w:val="left" w:pos="1800"/>
        </w:tabs>
        <w:contextualSpacing/>
        <w:rPr>
          <w:rFonts w:asciiTheme="minorHAnsi" w:hAnsiTheme="minorHAnsi"/>
          <w:sz w:val="22"/>
          <w:szCs w:val="22"/>
        </w:rPr>
      </w:pPr>
      <w:r w:rsidRPr="0095586E">
        <w:rPr>
          <w:rFonts w:asciiTheme="minorHAnsi" w:hAnsiTheme="minorHAnsi"/>
          <w:sz w:val="22"/>
          <w:szCs w:val="22"/>
        </w:rPr>
        <w:t>Requirements Analysis</w:t>
      </w:r>
    </w:p>
    <w:p w14:paraId="18D66F41" w14:textId="094C565E" w:rsidR="00047D8F" w:rsidRPr="0095586E" w:rsidRDefault="00047D8F" w:rsidP="006E777A">
      <w:pPr>
        <w:numPr>
          <w:ilvl w:val="2"/>
          <w:numId w:val="3"/>
        </w:numPr>
        <w:tabs>
          <w:tab w:val="left" w:pos="1800"/>
        </w:tabs>
        <w:contextualSpacing/>
        <w:rPr>
          <w:rFonts w:asciiTheme="minorHAnsi" w:hAnsiTheme="minorHAnsi"/>
          <w:sz w:val="22"/>
          <w:szCs w:val="22"/>
        </w:rPr>
      </w:pPr>
      <w:r w:rsidRPr="0095586E">
        <w:rPr>
          <w:rFonts w:asciiTheme="minorHAnsi" w:hAnsiTheme="minorHAnsi"/>
          <w:sz w:val="22"/>
          <w:szCs w:val="22"/>
        </w:rPr>
        <w:t>Development</w:t>
      </w:r>
    </w:p>
    <w:p w14:paraId="7576DD30" w14:textId="77777777" w:rsidR="00047D8F" w:rsidRPr="0095586E" w:rsidRDefault="00047D8F" w:rsidP="006E777A">
      <w:pPr>
        <w:numPr>
          <w:ilvl w:val="2"/>
          <w:numId w:val="3"/>
        </w:numPr>
        <w:tabs>
          <w:tab w:val="left" w:pos="1800"/>
        </w:tabs>
        <w:contextualSpacing/>
        <w:rPr>
          <w:rFonts w:asciiTheme="minorHAnsi" w:hAnsiTheme="minorHAnsi"/>
          <w:sz w:val="22"/>
          <w:szCs w:val="22"/>
        </w:rPr>
      </w:pPr>
      <w:r w:rsidRPr="0095586E">
        <w:rPr>
          <w:rFonts w:asciiTheme="minorHAnsi" w:hAnsiTheme="minorHAnsi"/>
          <w:sz w:val="22"/>
          <w:szCs w:val="22"/>
        </w:rPr>
        <w:t>Testing</w:t>
      </w:r>
    </w:p>
    <w:p w14:paraId="6C106CB3" w14:textId="77777777" w:rsidR="00047D8F" w:rsidRPr="0095586E" w:rsidRDefault="00047D8F" w:rsidP="006E777A">
      <w:pPr>
        <w:numPr>
          <w:ilvl w:val="2"/>
          <w:numId w:val="3"/>
        </w:numPr>
        <w:tabs>
          <w:tab w:val="left" w:pos="1800"/>
        </w:tabs>
        <w:contextualSpacing/>
        <w:rPr>
          <w:rFonts w:asciiTheme="minorHAnsi" w:hAnsiTheme="minorHAnsi"/>
          <w:sz w:val="22"/>
          <w:szCs w:val="22"/>
        </w:rPr>
      </w:pPr>
      <w:r w:rsidRPr="0095586E">
        <w:rPr>
          <w:rFonts w:asciiTheme="minorHAnsi" w:hAnsiTheme="minorHAnsi"/>
          <w:sz w:val="22"/>
          <w:szCs w:val="22"/>
        </w:rPr>
        <w:t>Training</w:t>
      </w:r>
    </w:p>
    <w:p w14:paraId="4D270F61" w14:textId="77777777" w:rsidR="00047D8F" w:rsidRPr="0095586E" w:rsidRDefault="00047D8F" w:rsidP="006E777A">
      <w:pPr>
        <w:numPr>
          <w:ilvl w:val="2"/>
          <w:numId w:val="3"/>
        </w:numPr>
        <w:tabs>
          <w:tab w:val="left" w:pos="1800"/>
        </w:tabs>
        <w:contextualSpacing/>
        <w:rPr>
          <w:rFonts w:asciiTheme="minorHAnsi" w:hAnsiTheme="minorHAnsi"/>
          <w:sz w:val="22"/>
          <w:szCs w:val="22"/>
        </w:rPr>
      </w:pPr>
      <w:r w:rsidRPr="0095586E">
        <w:rPr>
          <w:rFonts w:asciiTheme="minorHAnsi" w:hAnsiTheme="minorHAnsi"/>
          <w:sz w:val="22"/>
          <w:szCs w:val="22"/>
        </w:rPr>
        <w:t>Deployment</w:t>
      </w:r>
    </w:p>
    <w:p w14:paraId="6E85DBEB" w14:textId="77777777" w:rsidR="00047D8F" w:rsidRPr="0095586E" w:rsidRDefault="00047D8F" w:rsidP="00047D8F">
      <w:pPr>
        <w:ind w:left="1440"/>
        <w:contextualSpacing/>
        <w:rPr>
          <w:rFonts w:asciiTheme="minorHAnsi" w:hAnsiTheme="minorHAnsi"/>
          <w:sz w:val="22"/>
          <w:szCs w:val="22"/>
        </w:rPr>
      </w:pPr>
    </w:p>
    <w:p w14:paraId="2052C4DA" w14:textId="77777777" w:rsidR="00047D8F" w:rsidRPr="0095586E" w:rsidRDefault="00047D8F" w:rsidP="006E777A">
      <w:pPr>
        <w:numPr>
          <w:ilvl w:val="1"/>
          <w:numId w:val="3"/>
        </w:numPr>
        <w:tabs>
          <w:tab w:val="left" w:pos="1800"/>
        </w:tabs>
        <w:ind w:left="450" w:hanging="540"/>
        <w:contextualSpacing/>
        <w:rPr>
          <w:rFonts w:asciiTheme="minorHAnsi" w:hAnsiTheme="minorHAnsi"/>
          <w:sz w:val="22"/>
          <w:szCs w:val="22"/>
        </w:rPr>
      </w:pPr>
      <w:r w:rsidRPr="0095586E">
        <w:rPr>
          <w:rFonts w:asciiTheme="minorHAnsi" w:hAnsiTheme="minorHAnsi"/>
          <w:sz w:val="22"/>
          <w:szCs w:val="22"/>
        </w:rPr>
        <w:t xml:space="preserve">The Contractor shall invoice AHCCCS for the implementation fees only upon successful completion of each milestone. Successful completion will be determined in writing by AHCCCS.   </w:t>
      </w:r>
    </w:p>
    <w:p w14:paraId="2256AA0D" w14:textId="77777777" w:rsidR="00047D8F" w:rsidRPr="0095586E" w:rsidRDefault="00047D8F" w:rsidP="00047D8F">
      <w:pPr>
        <w:ind w:left="0"/>
        <w:rPr>
          <w:rFonts w:asciiTheme="minorHAnsi" w:hAnsiTheme="minorHAnsi"/>
          <w:sz w:val="22"/>
          <w:szCs w:val="22"/>
        </w:rPr>
      </w:pPr>
    </w:p>
    <w:p w14:paraId="71C679CE" w14:textId="77777777" w:rsidR="00047D8F" w:rsidRPr="0095586E" w:rsidRDefault="00047D8F" w:rsidP="00047D8F">
      <w:pPr>
        <w:ind w:left="0"/>
        <w:rPr>
          <w:rFonts w:asciiTheme="minorHAnsi" w:hAnsiTheme="minorHAnsi"/>
          <w:sz w:val="22"/>
          <w:szCs w:val="22"/>
        </w:rPr>
      </w:pPr>
    </w:p>
    <w:p w14:paraId="663BBFCE" w14:textId="27A0DD24" w:rsidR="00047D8F" w:rsidRPr="006E777A" w:rsidRDefault="00047D8F" w:rsidP="006E777A">
      <w:pPr>
        <w:keepNext/>
        <w:widowControl w:val="0"/>
        <w:numPr>
          <w:ilvl w:val="0"/>
          <w:numId w:val="1"/>
        </w:numPr>
        <w:shd w:val="clear" w:color="auto" w:fill="FFFFFF"/>
        <w:ind w:left="-90" w:right="0" w:hanging="450"/>
        <w:outlineLvl w:val="2"/>
        <w:rPr>
          <w:rFonts w:asciiTheme="minorHAnsi" w:hAnsiTheme="minorHAnsi" w:cstheme="minorHAnsi"/>
          <w:b/>
          <w:smallCaps/>
          <w:snapToGrid w:val="0"/>
          <w:sz w:val="22"/>
          <w:szCs w:val="22"/>
        </w:rPr>
      </w:pPr>
      <w:r w:rsidRPr="0095586E">
        <w:rPr>
          <w:rFonts w:asciiTheme="minorHAnsi" w:hAnsiTheme="minorHAnsi" w:cstheme="minorHAnsi"/>
          <w:b/>
          <w:sz w:val="22"/>
          <w:szCs w:val="22"/>
        </w:rPr>
        <w:t>FIXED ANNUAL FEE:</w:t>
      </w:r>
    </w:p>
    <w:p w14:paraId="61507EA0" w14:textId="77777777" w:rsidR="006E777A" w:rsidRPr="0095586E" w:rsidRDefault="006E777A" w:rsidP="006E777A">
      <w:pPr>
        <w:keepNext/>
        <w:widowControl w:val="0"/>
        <w:shd w:val="clear" w:color="auto" w:fill="FFFFFF"/>
        <w:ind w:left="-90" w:right="0"/>
        <w:outlineLvl w:val="2"/>
        <w:rPr>
          <w:rFonts w:asciiTheme="minorHAnsi" w:hAnsiTheme="minorHAnsi" w:cstheme="minorHAnsi"/>
          <w:b/>
          <w:smallCaps/>
          <w:snapToGrid w:val="0"/>
          <w:sz w:val="22"/>
          <w:szCs w:val="22"/>
        </w:rPr>
      </w:pPr>
    </w:p>
    <w:p w14:paraId="5D8E9C1E" w14:textId="457615F8" w:rsidR="00047D8F" w:rsidRPr="0095586E" w:rsidRDefault="00047D8F" w:rsidP="006E777A">
      <w:pPr>
        <w:numPr>
          <w:ilvl w:val="1"/>
          <w:numId w:val="4"/>
        </w:numPr>
        <w:tabs>
          <w:tab w:val="left" w:pos="1800"/>
        </w:tabs>
        <w:ind w:left="450" w:hanging="450"/>
        <w:contextualSpacing/>
        <w:rPr>
          <w:rFonts w:asciiTheme="minorHAnsi" w:hAnsiTheme="minorHAnsi" w:cstheme="minorHAnsi"/>
          <w:b/>
          <w:smallCaps/>
          <w:snapToGrid w:val="0"/>
          <w:sz w:val="22"/>
          <w:szCs w:val="22"/>
        </w:rPr>
      </w:pPr>
      <w:r w:rsidRPr="0095586E">
        <w:rPr>
          <w:rFonts w:asciiTheme="minorHAnsi" w:hAnsiTheme="minorHAnsi" w:cstheme="minorHAnsi"/>
          <w:sz w:val="22"/>
          <w:szCs w:val="22"/>
        </w:rPr>
        <w:t xml:space="preserve">Offeror is required to propose pricing for activities Post-Implementation by fixed annual fee. The fee shall be paid on a pro-rated quarterly basis after award. The fee shall be inclusive of all costs associated with the delivery of the service and includes staff time, mileage, insurance, and administrative cost. No additional fees will be paid by AHCCCS. </w:t>
      </w:r>
    </w:p>
    <w:p w14:paraId="430802F0" w14:textId="77777777" w:rsidR="00047D8F" w:rsidRPr="0095586E" w:rsidRDefault="00047D8F" w:rsidP="00047D8F">
      <w:pPr>
        <w:ind w:left="0"/>
      </w:pPr>
    </w:p>
    <w:p w14:paraId="25659B70" w14:textId="77777777" w:rsidR="00047D8F" w:rsidRPr="0095586E" w:rsidRDefault="00047D8F" w:rsidP="006E777A">
      <w:pPr>
        <w:numPr>
          <w:ilvl w:val="1"/>
          <w:numId w:val="4"/>
        </w:numPr>
        <w:tabs>
          <w:tab w:val="left" w:pos="1800"/>
        </w:tabs>
        <w:ind w:left="450" w:hanging="450"/>
        <w:contextualSpacing/>
        <w:rPr>
          <w:rFonts w:asciiTheme="minorHAnsi" w:hAnsiTheme="minorHAnsi"/>
          <w:bCs/>
          <w:sz w:val="22"/>
          <w:szCs w:val="22"/>
        </w:rPr>
      </w:pPr>
      <w:r w:rsidRPr="0095586E">
        <w:rPr>
          <w:rFonts w:asciiTheme="minorHAnsi" w:hAnsiTheme="minorHAnsi"/>
          <w:sz w:val="22"/>
          <w:szCs w:val="22"/>
        </w:rPr>
        <w:t xml:space="preserve">AHCCCS will begin making quarterly payments after the program has been up and running for one (1) full month following user acceptance testing.   </w:t>
      </w:r>
    </w:p>
    <w:p w14:paraId="4608E0E4" w14:textId="77777777" w:rsidR="00047D8F" w:rsidRPr="0095586E" w:rsidRDefault="00047D8F" w:rsidP="00047D8F">
      <w:pPr>
        <w:ind w:left="720"/>
        <w:contextualSpacing/>
        <w:rPr>
          <w:rFonts w:asciiTheme="minorHAnsi" w:hAnsiTheme="minorHAnsi"/>
          <w:bCs/>
          <w:sz w:val="22"/>
          <w:szCs w:val="22"/>
        </w:rPr>
      </w:pPr>
    </w:p>
    <w:p w14:paraId="22D40725" w14:textId="6816A414" w:rsidR="00047D8F" w:rsidRDefault="00047D8F" w:rsidP="006E777A">
      <w:pPr>
        <w:numPr>
          <w:ilvl w:val="1"/>
          <w:numId w:val="4"/>
        </w:numPr>
        <w:tabs>
          <w:tab w:val="left" w:pos="1800"/>
        </w:tabs>
        <w:ind w:left="450" w:hanging="450"/>
        <w:contextualSpacing/>
        <w:rPr>
          <w:rFonts w:asciiTheme="minorHAnsi" w:hAnsiTheme="minorHAnsi"/>
          <w:sz w:val="22"/>
          <w:szCs w:val="22"/>
        </w:rPr>
      </w:pPr>
      <w:r w:rsidRPr="0095586E">
        <w:rPr>
          <w:rFonts w:asciiTheme="minorHAnsi" w:hAnsiTheme="minorHAnsi"/>
          <w:sz w:val="22"/>
          <w:szCs w:val="22"/>
        </w:rPr>
        <w:t xml:space="preserve">Offerors shall enter a Fixed Price Annual Fee for its base solution as well as any optional elements offered (listed in the scope of work or not).  For all Optional Elements, Offerors </w:t>
      </w:r>
      <w:proofErr w:type="gramStart"/>
      <w:r w:rsidRPr="0095586E">
        <w:rPr>
          <w:rFonts w:asciiTheme="minorHAnsi" w:hAnsiTheme="minorHAnsi"/>
          <w:sz w:val="22"/>
          <w:szCs w:val="22"/>
        </w:rPr>
        <w:t>may</w:t>
      </w:r>
      <w:proofErr w:type="gramEnd"/>
      <w:r w:rsidRPr="0095586E">
        <w:rPr>
          <w:rFonts w:asciiTheme="minorHAnsi" w:hAnsiTheme="minorHAnsi"/>
          <w:sz w:val="22"/>
          <w:szCs w:val="22"/>
        </w:rPr>
        <w:t xml:space="preserve"> 1.) Enter a price; 2.) Enter a statement that it is included in base solution; or 3.) Enter a statement that the optional element is not available.  Offerors may enter additional optional elements offered</w:t>
      </w:r>
      <w:r w:rsidR="00836E0F">
        <w:rPr>
          <w:rFonts w:asciiTheme="minorHAnsi" w:hAnsiTheme="minorHAnsi"/>
          <w:sz w:val="22"/>
          <w:szCs w:val="22"/>
        </w:rPr>
        <w:t xml:space="preserve">, and AHCCCS may include them with an offer at AHCCCS’ sole </w:t>
      </w:r>
      <w:r w:rsidR="006E777A">
        <w:rPr>
          <w:rFonts w:asciiTheme="minorHAnsi" w:hAnsiTheme="minorHAnsi"/>
          <w:sz w:val="22"/>
          <w:szCs w:val="22"/>
        </w:rPr>
        <w:t>discretion</w:t>
      </w:r>
      <w:r w:rsidRPr="0095586E">
        <w:rPr>
          <w:rFonts w:asciiTheme="minorHAnsi" w:hAnsiTheme="minorHAnsi"/>
          <w:sz w:val="22"/>
          <w:szCs w:val="22"/>
        </w:rPr>
        <w:t>.</w:t>
      </w:r>
    </w:p>
    <w:p w14:paraId="18A9A20D" w14:textId="77777777" w:rsidR="006E777A" w:rsidRDefault="006E777A" w:rsidP="006E777A">
      <w:pPr>
        <w:pStyle w:val="ListParagraph"/>
        <w:rPr>
          <w:rFonts w:asciiTheme="minorHAnsi" w:hAnsiTheme="minorHAnsi"/>
          <w:sz w:val="22"/>
          <w:szCs w:val="22"/>
        </w:rPr>
      </w:pPr>
    </w:p>
    <w:p w14:paraId="47A178F1" w14:textId="77777777" w:rsidR="006E777A" w:rsidRPr="0095586E" w:rsidRDefault="006E777A" w:rsidP="006E777A">
      <w:pPr>
        <w:tabs>
          <w:tab w:val="left" w:pos="1800"/>
        </w:tabs>
        <w:ind w:left="450"/>
        <w:contextualSpacing/>
        <w:rPr>
          <w:rFonts w:asciiTheme="minorHAnsi" w:hAnsiTheme="minorHAnsi"/>
          <w:sz w:val="22"/>
          <w:szCs w:val="22"/>
        </w:rPr>
      </w:pPr>
    </w:p>
    <w:p w14:paraId="3B22DE39" w14:textId="77777777" w:rsidR="00047D8F" w:rsidRPr="0095586E" w:rsidRDefault="00047D8F" w:rsidP="00047D8F">
      <w:pPr>
        <w:rPr>
          <w:rFonts w:asciiTheme="minorHAnsi" w:hAnsiTheme="minorHAnsi"/>
          <w:sz w:val="22"/>
          <w:szCs w:val="22"/>
        </w:rPr>
      </w:pPr>
    </w:p>
    <w:tbl>
      <w:tblPr>
        <w:tblStyle w:val="TableGrid1"/>
        <w:tblW w:w="10705" w:type="dxa"/>
        <w:jc w:val="center"/>
        <w:tblLayout w:type="fixed"/>
        <w:tblLook w:val="04A0" w:firstRow="1" w:lastRow="0" w:firstColumn="1" w:lastColumn="0" w:noHBand="0" w:noVBand="1"/>
      </w:tblPr>
      <w:tblGrid>
        <w:gridCol w:w="6835"/>
        <w:gridCol w:w="1890"/>
        <w:gridCol w:w="1980"/>
      </w:tblGrid>
      <w:tr w:rsidR="00047D8F" w:rsidRPr="006E777A" w14:paraId="71F523CC" w14:textId="77777777" w:rsidTr="006E777A">
        <w:trPr>
          <w:jc w:val="center"/>
        </w:trPr>
        <w:tc>
          <w:tcPr>
            <w:tcW w:w="6835" w:type="dxa"/>
          </w:tcPr>
          <w:p w14:paraId="6D16ADC1" w14:textId="77777777" w:rsidR="00047D8F" w:rsidRPr="006E777A" w:rsidRDefault="00047D8F" w:rsidP="00BA74B0">
            <w:pPr>
              <w:ind w:left="0"/>
              <w:jc w:val="right"/>
              <w:rPr>
                <w:rFonts w:asciiTheme="minorHAnsi" w:hAnsiTheme="minorHAnsi" w:cstheme="minorHAnsi"/>
                <w:sz w:val="18"/>
                <w:szCs w:val="18"/>
              </w:rPr>
            </w:pPr>
            <w:r w:rsidRPr="006E777A">
              <w:rPr>
                <w:rFonts w:asciiTheme="minorHAnsi" w:hAnsiTheme="minorHAnsi" w:cstheme="minorHAnsi"/>
                <w:sz w:val="18"/>
                <w:szCs w:val="18"/>
              </w:rPr>
              <w:t>Contract Year</w:t>
            </w:r>
          </w:p>
        </w:tc>
        <w:tc>
          <w:tcPr>
            <w:tcW w:w="1890" w:type="dxa"/>
          </w:tcPr>
          <w:p w14:paraId="1A14AC24"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sz w:val="18"/>
                <w:szCs w:val="18"/>
              </w:rPr>
              <w:t xml:space="preserve">Years 1 - 3 </w:t>
            </w:r>
          </w:p>
          <w:p w14:paraId="261CB1A1"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sz w:val="18"/>
                <w:szCs w:val="18"/>
              </w:rPr>
              <w:t>(Initial Contract Term)</w:t>
            </w:r>
          </w:p>
          <w:p w14:paraId="35D72B15" w14:textId="77777777" w:rsidR="00047D8F" w:rsidRPr="006E777A" w:rsidRDefault="00047D8F" w:rsidP="00BA74B0">
            <w:pPr>
              <w:ind w:left="0"/>
              <w:jc w:val="center"/>
              <w:rPr>
                <w:rFonts w:asciiTheme="minorHAnsi" w:hAnsiTheme="minorHAnsi" w:cstheme="minorHAnsi"/>
                <w:sz w:val="18"/>
                <w:szCs w:val="18"/>
              </w:rPr>
            </w:pPr>
          </w:p>
        </w:tc>
        <w:tc>
          <w:tcPr>
            <w:tcW w:w="1980" w:type="dxa"/>
          </w:tcPr>
          <w:p w14:paraId="1A9C83F2" w14:textId="77777777" w:rsidR="00047D8F" w:rsidRPr="006E777A" w:rsidRDefault="00047D8F" w:rsidP="00BA74B0">
            <w:pPr>
              <w:ind w:left="0"/>
              <w:jc w:val="center"/>
              <w:rPr>
                <w:rFonts w:asciiTheme="minorHAnsi" w:hAnsiTheme="minorHAnsi" w:cstheme="minorHAnsi"/>
                <w:sz w:val="18"/>
                <w:szCs w:val="18"/>
              </w:rPr>
            </w:pPr>
            <w:r w:rsidRPr="006E777A">
              <w:rPr>
                <w:rFonts w:asciiTheme="minorHAnsi" w:hAnsiTheme="minorHAnsi" w:cstheme="minorHAnsi"/>
                <w:sz w:val="18"/>
                <w:szCs w:val="18"/>
              </w:rPr>
              <w:t>Years 4 - 5 (Extension)</w:t>
            </w:r>
          </w:p>
          <w:p w14:paraId="017EA10D" w14:textId="77777777" w:rsidR="00047D8F" w:rsidRPr="006E777A" w:rsidRDefault="00047D8F" w:rsidP="00BA74B0">
            <w:pPr>
              <w:ind w:left="0"/>
              <w:jc w:val="center"/>
              <w:rPr>
                <w:rFonts w:asciiTheme="minorHAnsi" w:hAnsiTheme="minorHAnsi" w:cstheme="minorHAnsi"/>
                <w:sz w:val="18"/>
                <w:szCs w:val="18"/>
              </w:rPr>
            </w:pPr>
          </w:p>
        </w:tc>
      </w:tr>
      <w:tr w:rsidR="00047D8F" w:rsidRPr="006E777A" w14:paraId="18D04C12" w14:textId="77777777" w:rsidTr="006E777A">
        <w:trPr>
          <w:jc w:val="center"/>
        </w:trPr>
        <w:tc>
          <w:tcPr>
            <w:tcW w:w="6835" w:type="dxa"/>
          </w:tcPr>
          <w:p w14:paraId="646B2C2A" w14:textId="77777777" w:rsidR="00047D8F" w:rsidRPr="006E777A" w:rsidRDefault="00047D8F" w:rsidP="00BA74B0">
            <w:pPr>
              <w:ind w:left="0"/>
              <w:rPr>
                <w:rFonts w:asciiTheme="minorHAnsi" w:hAnsiTheme="minorHAnsi" w:cstheme="minorHAnsi"/>
                <w:b/>
                <w:sz w:val="18"/>
                <w:szCs w:val="18"/>
              </w:rPr>
            </w:pPr>
            <w:r w:rsidRPr="006E777A">
              <w:rPr>
                <w:rFonts w:asciiTheme="minorHAnsi" w:hAnsiTheme="minorHAnsi" w:cstheme="minorHAnsi"/>
                <w:b/>
                <w:sz w:val="18"/>
                <w:szCs w:val="18"/>
              </w:rPr>
              <w:t xml:space="preserve">Proposed Solution with all Required Elements </w:t>
            </w:r>
          </w:p>
          <w:p w14:paraId="7E8A3194" w14:textId="77777777" w:rsidR="00047D8F" w:rsidRPr="006E777A" w:rsidRDefault="00047D8F" w:rsidP="00BA74B0">
            <w:pPr>
              <w:ind w:left="0"/>
              <w:rPr>
                <w:rFonts w:asciiTheme="minorHAnsi" w:hAnsiTheme="minorHAnsi" w:cstheme="minorHAnsi"/>
                <w:b/>
                <w:sz w:val="18"/>
                <w:szCs w:val="18"/>
              </w:rPr>
            </w:pPr>
          </w:p>
          <w:p w14:paraId="6C651637" w14:textId="77777777" w:rsidR="00047D8F" w:rsidRDefault="00047D8F" w:rsidP="00BA74B0">
            <w:pPr>
              <w:ind w:left="0"/>
              <w:rPr>
                <w:rFonts w:asciiTheme="minorHAnsi" w:hAnsiTheme="minorHAnsi" w:cstheme="minorHAnsi"/>
                <w:b/>
                <w:sz w:val="18"/>
                <w:szCs w:val="18"/>
              </w:rPr>
            </w:pPr>
          </w:p>
          <w:p w14:paraId="169CF14E" w14:textId="5E292B0A" w:rsidR="006E777A" w:rsidRPr="006E777A" w:rsidRDefault="006E777A" w:rsidP="00BA74B0">
            <w:pPr>
              <w:ind w:left="0"/>
              <w:rPr>
                <w:rFonts w:asciiTheme="minorHAnsi" w:hAnsiTheme="minorHAnsi" w:cstheme="minorHAnsi"/>
                <w:b/>
                <w:sz w:val="18"/>
                <w:szCs w:val="18"/>
              </w:rPr>
            </w:pPr>
          </w:p>
        </w:tc>
        <w:tc>
          <w:tcPr>
            <w:tcW w:w="1890" w:type="dxa"/>
          </w:tcPr>
          <w:p w14:paraId="1DE1FE9A" w14:textId="77777777" w:rsidR="00047D8F" w:rsidRPr="006E777A" w:rsidRDefault="00047D8F" w:rsidP="00BA74B0">
            <w:pPr>
              <w:ind w:left="0"/>
              <w:rPr>
                <w:rFonts w:asciiTheme="minorHAnsi" w:hAnsiTheme="minorHAnsi" w:cstheme="minorHAnsi"/>
                <w:b/>
                <w:sz w:val="18"/>
                <w:szCs w:val="18"/>
              </w:rPr>
            </w:pPr>
            <w:r w:rsidRPr="006E777A">
              <w:rPr>
                <w:rFonts w:asciiTheme="minorHAnsi" w:hAnsiTheme="minorHAnsi" w:cstheme="minorHAnsi"/>
                <w:b/>
                <w:sz w:val="18"/>
                <w:szCs w:val="18"/>
              </w:rPr>
              <w:t>$                  Per year</w:t>
            </w:r>
          </w:p>
        </w:tc>
        <w:tc>
          <w:tcPr>
            <w:tcW w:w="1980" w:type="dxa"/>
          </w:tcPr>
          <w:p w14:paraId="01F11571" w14:textId="77777777" w:rsidR="00047D8F" w:rsidRPr="006E777A" w:rsidRDefault="00047D8F" w:rsidP="00BA74B0">
            <w:pPr>
              <w:ind w:left="0"/>
              <w:rPr>
                <w:rFonts w:asciiTheme="minorHAnsi" w:hAnsiTheme="minorHAnsi" w:cstheme="minorHAnsi"/>
                <w:b/>
                <w:sz w:val="18"/>
                <w:szCs w:val="18"/>
              </w:rPr>
            </w:pPr>
            <w:r w:rsidRPr="006E777A">
              <w:rPr>
                <w:rFonts w:asciiTheme="minorHAnsi" w:hAnsiTheme="minorHAnsi" w:cstheme="minorHAnsi"/>
                <w:b/>
                <w:sz w:val="18"/>
                <w:szCs w:val="18"/>
              </w:rPr>
              <w:t>$                  Per year</w:t>
            </w:r>
          </w:p>
        </w:tc>
      </w:tr>
      <w:tr w:rsidR="00047D8F" w:rsidRPr="006E777A" w14:paraId="114F6A70" w14:textId="77777777" w:rsidTr="006E777A">
        <w:trPr>
          <w:jc w:val="center"/>
        </w:trPr>
        <w:tc>
          <w:tcPr>
            <w:tcW w:w="6835" w:type="dxa"/>
          </w:tcPr>
          <w:p w14:paraId="2DAD39D0" w14:textId="4FB1D274" w:rsidR="00047D8F" w:rsidRPr="006E777A" w:rsidRDefault="00047D8F" w:rsidP="00BA74B0">
            <w:pPr>
              <w:ind w:left="0"/>
              <w:rPr>
                <w:rFonts w:asciiTheme="minorHAnsi" w:hAnsiTheme="minorHAnsi" w:cstheme="minorHAnsi"/>
                <w:b/>
                <w:bCs/>
                <w:sz w:val="18"/>
                <w:szCs w:val="18"/>
              </w:rPr>
            </w:pPr>
            <w:r w:rsidRPr="006E777A">
              <w:rPr>
                <w:rFonts w:asciiTheme="minorHAnsi" w:hAnsiTheme="minorHAnsi" w:cstheme="minorHAnsi"/>
                <w:b/>
                <w:bCs/>
                <w:sz w:val="18"/>
                <w:szCs w:val="18"/>
              </w:rPr>
              <w:t>Optional Element # 4.2</w:t>
            </w:r>
            <w:r w:rsidR="00836E0F" w:rsidRPr="006E777A">
              <w:rPr>
                <w:rFonts w:asciiTheme="minorHAnsi" w:hAnsiTheme="minorHAnsi" w:cstheme="minorHAnsi"/>
                <w:b/>
                <w:bCs/>
                <w:sz w:val="18"/>
                <w:szCs w:val="18"/>
              </w:rPr>
              <w:t>4</w:t>
            </w:r>
          </w:p>
          <w:p w14:paraId="698FA126"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sz w:val="18"/>
                <w:szCs w:val="18"/>
              </w:rPr>
              <w:t>The system should leverage agency and vendor data where possible to evaluate member eligibility determinations to analyze potential accuracy or risk.  Areas of risk include but are not limited to date of death, incarceration, out of state residency, inappropriate asset ownership and income.</w:t>
            </w:r>
          </w:p>
          <w:p w14:paraId="3F062F8C" w14:textId="77777777" w:rsidR="00047D8F" w:rsidRDefault="00047D8F" w:rsidP="00BA74B0">
            <w:pPr>
              <w:rPr>
                <w:rFonts w:asciiTheme="minorHAnsi" w:hAnsiTheme="minorHAnsi" w:cstheme="minorHAnsi"/>
                <w:sz w:val="18"/>
                <w:szCs w:val="18"/>
              </w:rPr>
            </w:pPr>
          </w:p>
          <w:p w14:paraId="538513ED" w14:textId="77777777" w:rsidR="006E777A" w:rsidRDefault="006E777A" w:rsidP="00BA74B0">
            <w:pPr>
              <w:rPr>
                <w:rFonts w:asciiTheme="minorHAnsi" w:hAnsiTheme="minorHAnsi" w:cstheme="minorHAnsi"/>
                <w:sz w:val="18"/>
                <w:szCs w:val="18"/>
              </w:rPr>
            </w:pPr>
          </w:p>
          <w:p w14:paraId="46261EAC" w14:textId="2FD683A5" w:rsidR="00171887" w:rsidRPr="006E777A" w:rsidRDefault="00171887" w:rsidP="00BA74B0">
            <w:pPr>
              <w:rPr>
                <w:rFonts w:asciiTheme="minorHAnsi" w:hAnsiTheme="minorHAnsi" w:cstheme="minorHAnsi"/>
                <w:sz w:val="18"/>
                <w:szCs w:val="18"/>
              </w:rPr>
            </w:pPr>
          </w:p>
        </w:tc>
        <w:tc>
          <w:tcPr>
            <w:tcW w:w="1890" w:type="dxa"/>
          </w:tcPr>
          <w:p w14:paraId="3F738D98"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b/>
                <w:sz w:val="18"/>
                <w:szCs w:val="18"/>
              </w:rPr>
              <w:t>$                  Per year</w:t>
            </w:r>
          </w:p>
        </w:tc>
        <w:tc>
          <w:tcPr>
            <w:tcW w:w="1980" w:type="dxa"/>
          </w:tcPr>
          <w:p w14:paraId="4F0BC347"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b/>
                <w:sz w:val="18"/>
                <w:szCs w:val="18"/>
              </w:rPr>
              <w:t>$                  Per year</w:t>
            </w:r>
          </w:p>
        </w:tc>
      </w:tr>
      <w:tr w:rsidR="00047D8F" w:rsidRPr="006E777A" w14:paraId="4A165903" w14:textId="77777777" w:rsidTr="006E777A">
        <w:trPr>
          <w:jc w:val="center"/>
        </w:trPr>
        <w:tc>
          <w:tcPr>
            <w:tcW w:w="6835" w:type="dxa"/>
          </w:tcPr>
          <w:p w14:paraId="2EB316E4" w14:textId="7B557751" w:rsidR="00047D8F" w:rsidRPr="006E777A" w:rsidRDefault="00047D8F" w:rsidP="00BA74B0">
            <w:pPr>
              <w:ind w:left="0"/>
              <w:rPr>
                <w:rFonts w:asciiTheme="minorHAnsi" w:hAnsiTheme="minorHAnsi" w:cstheme="minorHAnsi"/>
                <w:b/>
                <w:bCs/>
                <w:sz w:val="18"/>
                <w:szCs w:val="18"/>
              </w:rPr>
            </w:pPr>
            <w:bookmarkStart w:id="0" w:name="_Hlk82701674"/>
            <w:r w:rsidRPr="006E777A">
              <w:rPr>
                <w:rFonts w:asciiTheme="minorHAnsi" w:hAnsiTheme="minorHAnsi" w:cstheme="minorHAnsi"/>
                <w:b/>
                <w:bCs/>
                <w:sz w:val="18"/>
                <w:szCs w:val="18"/>
              </w:rPr>
              <w:lastRenderedPageBreak/>
              <w:t>Optional Element # 4.2</w:t>
            </w:r>
            <w:r w:rsidR="00836E0F" w:rsidRPr="006E777A">
              <w:rPr>
                <w:rFonts w:asciiTheme="minorHAnsi" w:hAnsiTheme="minorHAnsi" w:cstheme="minorHAnsi"/>
                <w:b/>
                <w:bCs/>
                <w:sz w:val="18"/>
                <w:szCs w:val="18"/>
              </w:rPr>
              <w:t>5</w:t>
            </w:r>
            <w:r w:rsidRPr="006E777A">
              <w:rPr>
                <w:rFonts w:asciiTheme="minorHAnsi" w:hAnsiTheme="minorHAnsi" w:cstheme="minorHAnsi"/>
                <w:b/>
                <w:bCs/>
                <w:sz w:val="18"/>
                <w:szCs w:val="18"/>
              </w:rPr>
              <w:t xml:space="preserve"> </w:t>
            </w:r>
          </w:p>
          <w:p w14:paraId="2781F841" w14:textId="1748FEDD"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sz w:val="18"/>
                <w:szCs w:val="18"/>
              </w:rPr>
              <w:t xml:space="preserve">The system should analyze the appropriateness and cost effectiveness of care as defined by health care guidelines such as Milliman and </w:t>
            </w:r>
            <w:proofErr w:type="gramStart"/>
            <w:r w:rsidRPr="006E777A">
              <w:rPr>
                <w:rFonts w:asciiTheme="minorHAnsi" w:hAnsiTheme="minorHAnsi" w:cstheme="minorHAnsi"/>
                <w:sz w:val="18"/>
                <w:szCs w:val="18"/>
              </w:rPr>
              <w:t xml:space="preserve">InterQual, </w:t>
            </w:r>
            <w:r w:rsidR="006E777A">
              <w:rPr>
                <w:rFonts w:asciiTheme="minorHAnsi" w:hAnsiTheme="minorHAnsi" w:cstheme="minorHAnsi"/>
                <w:sz w:val="18"/>
                <w:szCs w:val="18"/>
              </w:rPr>
              <w:t xml:space="preserve"> </w:t>
            </w:r>
            <w:r w:rsidRPr="006E777A">
              <w:rPr>
                <w:rFonts w:asciiTheme="minorHAnsi" w:hAnsiTheme="minorHAnsi" w:cstheme="minorHAnsi"/>
                <w:sz w:val="18"/>
                <w:szCs w:val="18"/>
              </w:rPr>
              <w:t>and</w:t>
            </w:r>
            <w:proofErr w:type="gramEnd"/>
            <w:r w:rsidRPr="006E777A">
              <w:rPr>
                <w:rFonts w:asciiTheme="minorHAnsi" w:hAnsiTheme="minorHAnsi" w:cstheme="minorHAnsi"/>
                <w:sz w:val="18"/>
                <w:szCs w:val="18"/>
              </w:rPr>
              <w:t xml:space="preserve"> report any associated issues for the AHCCCS user to research.</w:t>
            </w:r>
          </w:p>
          <w:p w14:paraId="401D9DC5" w14:textId="77777777" w:rsidR="00047D8F" w:rsidRPr="006E777A" w:rsidRDefault="00047D8F" w:rsidP="00BA74B0">
            <w:pPr>
              <w:rPr>
                <w:rFonts w:asciiTheme="minorHAnsi" w:hAnsiTheme="minorHAnsi" w:cstheme="minorHAnsi"/>
                <w:sz w:val="18"/>
                <w:szCs w:val="18"/>
              </w:rPr>
            </w:pPr>
          </w:p>
        </w:tc>
        <w:tc>
          <w:tcPr>
            <w:tcW w:w="1890" w:type="dxa"/>
          </w:tcPr>
          <w:p w14:paraId="4B3A6555"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b/>
                <w:sz w:val="18"/>
                <w:szCs w:val="18"/>
              </w:rPr>
              <w:t>$                  Per year</w:t>
            </w:r>
          </w:p>
        </w:tc>
        <w:tc>
          <w:tcPr>
            <w:tcW w:w="1980" w:type="dxa"/>
          </w:tcPr>
          <w:p w14:paraId="1A4E54C2" w14:textId="77777777" w:rsidR="00047D8F" w:rsidRPr="006E777A" w:rsidRDefault="00047D8F" w:rsidP="00BA74B0">
            <w:pPr>
              <w:ind w:left="0"/>
              <w:rPr>
                <w:rFonts w:asciiTheme="minorHAnsi" w:hAnsiTheme="minorHAnsi" w:cstheme="minorHAnsi"/>
                <w:sz w:val="18"/>
                <w:szCs w:val="18"/>
              </w:rPr>
            </w:pPr>
            <w:r w:rsidRPr="006E777A">
              <w:rPr>
                <w:rFonts w:asciiTheme="minorHAnsi" w:hAnsiTheme="minorHAnsi" w:cstheme="minorHAnsi"/>
                <w:b/>
                <w:sz w:val="18"/>
                <w:szCs w:val="18"/>
              </w:rPr>
              <w:t>$                  Per year</w:t>
            </w:r>
          </w:p>
        </w:tc>
      </w:tr>
      <w:bookmarkEnd w:id="0"/>
      <w:tr w:rsidR="00836E0F" w:rsidRPr="006E777A" w14:paraId="716BCA02" w14:textId="77777777" w:rsidTr="006E777A">
        <w:trPr>
          <w:jc w:val="center"/>
        </w:trPr>
        <w:tc>
          <w:tcPr>
            <w:tcW w:w="6835" w:type="dxa"/>
          </w:tcPr>
          <w:p w14:paraId="66905EE4" w14:textId="574FA896" w:rsidR="00836E0F" w:rsidRPr="006E777A" w:rsidRDefault="00836E0F" w:rsidP="00836E0F">
            <w:pPr>
              <w:ind w:left="0"/>
              <w:rPr>
                <w:rFonts w:asciiTheme="minorHAnsi" w:hAnsiTheme="minorHAnsi" w:cstheme="minorHAnsi"/>
                <w:b/>
                <w:bCs/>
                <w:sz w:val="18"/>
                <w:szCs w:val="18"/>
              </w:rPr>
            </w:pPr>
            <w:r w:rsidRPr="006E777A">
              <w:rPr>
                <w:rFonts w:asciiTheme="minorHAnsi" w:hAnsiTheme="minorHAnsi" w:cstheme="minorHAnsi"/>
                <w:b/>
                <w:bCs/>
                <w:sz w:val="18"/>
                <w:szCs w:val="18"/>
              </w:rPr>
              <w:t>Optional Element # 4.2</w:t>
            </w:r>
            <w:r w:rsidRPr="006E777A">
              <w:rPr>
                <w:rFonts w:asciiTheme="minorHAnsi" w:hAnsiTheme="minorHAnsi" w:cstheme="minorHAnsi"/>
                <w:b/>
                <w:bCs/>
                <w:sz w:val="18"/>
                <w:szCs w:val="18"/>
              </w:rPr>
              <w:t>6</w:t>
            </w:r>
          </w:p>
          <w:p w14:paraId="13EBF52B" w14:textId="335A53C6" w:rsidR="00836E0F" w:rsidRDefault="006E777A" w:rsidP="006E777A">
            <w:pPr>
              <w:ind w:left="0"/>
              <w:rPr>
                <w:rFonts w:asciiTheme="minorHAnsi" w:hAnsiTheme="minorHAnsi" w:cstheme="minorHAnsi"/>
                <w:sz w:val="18"/>
                <w:szCs w:val="18"/>
              </w:rPr>
            </w:pPr>
            <w:r w:rsidRPr="006E777A">
              <w:rPr>
                <w:rFonts w:asciiTheme="minorHAnsi" w:hAnsiTheme="minorHAnsi" w:cstheme="minorHAnsi"/>
                <w:sz w:val="18"/>
                <w:szCs w:val="18"/>
              </w:rPr>
              <w:t>The system should provide access to and keyword searching of AHCCCS policies, Arizona Revised Statutes (A.R.S.), Arizona Administrative Code (A.A.C.), Centers for Medicare and Medicaid Services (CMS) guidelines and policies, and the Code of Federal Regulations (C.F.R.) to support AHCCCS OIG investigations.</w:t>
            </w:r>
          </w:p>
          <w:p w14:paraId="2B4CA341" w14:textId="77777777" w:rsidR="00171887" w:rsidRDefault="00171887" w:rsidP="006E777A">
            <w:pPr>
              <w:ind w:left="0"/>
              <w:rPr>
                <w:rFonts w:asciiTheme="minorHAnsi" w:hAnsiTheme="minorHAnsi" w:cstheme="minorHAnsi"/>
                <w:sz w:val="18"/>
                <w:szCs w:val="18"/>
              </w:rPr>
            </w:pPr>
          </w:p>
          <w:p w14:paraId="2D6A4620" w14:textId="3EBA80CC" w:rsidR="006E777A" w:rsidRPr="006E777A" w:rsidRDefault="006E777A" w:rsidP="006E777A">
            <w:pPr>
              <w:ind w:left="0"/>
              <w:rPr>
                <w:rFonts w:asciiTheme="minorHAnsi" w:hAnsiTheme="minorHAnsi" w:cstheme="minorHAnsi"/>
                <w:sz w:val="18"/>
                <w:szCs w:val="18"/>
                <w:highlight w:val="yellow"/>
              </w:rPr>
            </w:pPr>
          </w:p>
        </w:tc>
        <w:tc>
          <w:tcPr>
            <w:tcW w:w="1890" w:type="dxa"/>
          </w:tcPr>
          <w:p w14:paraId="6110F424" w14:textId="51A23983" w:rsidR="00836E0F" w:rsidRPr="006E777A" w:rsidRDefault="00836E0F" w:rsidP="00836E0F">
            <w:pPr>
              <w:ind w:left="0"/>
              <w:rPr>
                <w:rFonts w:asciiTheme="minorHAnsi" w:hAnsiTheme="minorHAnsi" w:cstheme="minorHAnsi"/>
                <w:strike/>
                <w:sz w:val="18"/>
                <w:szCs w:val="18"/>
                <w:highlight w:val="yellow"/>
              </w:rPr>
            </w:pPr>
            <w:r w:rsidRPr="006E777A">
              <w:rPr>
                <w:rFonts w:asciiTheme="minorHAnsi" w:hAnsiTheme="minorHAnsi" w:cstheme="minorHAnsi"/>
                <w:b/>
                <w:sz w:val="18"/>
                <w:szCs w:val="18"/>
              </w:rPr>
              <w:t>$                  Per year</w:t>
            </w:r>
          </w:p>
        </w:tc>
        <w:tc>
          <w:tcPr>
            <w:tcW w:w="1980" w:type="dxa"/>
          </w:tcPr>
          <w:p w14:paraId="627303F5" w14:textId="2B3B2229" w:rsidR="00836E0F" w:rsidRPr="006E777A" w:rsidRDefault="00836E0F" w:rsidP="00836E0F">
            <w:pPr>
              <w:ind w:left="0"/>
              <w:rPr>
                <w:rFonts w:asciiTheme="minorHAnsi" w:hAnsiTheme="minorHAnsi" w:cstheme="minorHAnsi"/>
                <w:strike/>
                <w:sz w:val="18"/>
                <w:szCs w:val="18"/>
                <w:highlight w:val="yellow"/>
              </w:rPr>
            </w:pPr>
            <w:r w:rsidRPr="006E777A">
              <w:rPr>
                <w:rFonts w:asciiTheme="minorHAnsi" w:hAnsiTheme="minorHAnsi" w:cstheme="minorHAnsi"/>
                <w:b/>
                <w:sz w:val="18"/>
                <w:szCs w:val="18"/>
              </w:rPr>
              <w:t>$                  Per year</w:t>
            </w:r>
          </w:p>
        </w:tc>
      </w:tr>
      <w:tr w:rsidR="00836E0F" w:rsidRPr="006E777A" w14:paraId="18ABAF39" w14:textId="77777777" w:rsidTr="006E777A">
        <w:trPr>
          <w:jc w:val="center"/>
        </w:trPr>
        <w:tc>
          <w:tcPr>
            <w:tcW w:w="6835" w:type="dxa"/>
          </w:tcPr>
          <w:p w14:paraId="178F8EC4" w14:textId="13578FA3" w:rsidR="00836E0F" w:rsidRPr="006E777A" w:rsidRDefault="006E777A" w:rsidP="00836E0F">
            <w:pPr>
              <w:rPr>
                <w:rFonts w:asciiTheme="minorHAnsi" w:hAnsiTheme="minorHAnsi" w:cstheme="minorHAnsi"/>
                <w:sz w:val="18"/>
                <w:szCs w:val="18"/>
              </w:rPr>
            </w:pPr>
            <w:r w:rsidRPr="006E777A">
              <w:rPr>
                <w:rFonts w:asciiTheme="minorHAnsi" w:hAnsiTheme="minorHAnsi" w:cstheme="minorHAnsi"/>
                <w:sz w:val="18"/>
                <w:szCs w:val="18"/>
              </w:rPr>
              <w:t xml:space="preserve">Offeror’s </w:t>
            </w:r>
            <w:r w:rsidR="00836E0F" w:rsidRPr="006E777A">
              <w:rPr>
                <w:rFonts w:asciiTheme="minorHAnsi" w:hAnsiTheme="minorHAnsi" w:cstheme="minorHAnsi"/>
                <w:sz w:val="18"/>
                <w:szCs w:val="18"/>
              </w:rPr>
              <w:t xml:space="preserve">Optional Element </w:t>
            </w:r>
          </w:p>
          <w:p w14:paraId="7964B796" w14:textId="77777777" w:rsidR="00836E0F" w:rsidRPr="006E777A" w:rsidRDefault="00836E0F" w:rsidP="00836E0F">
            <w:pPr>
              <w:rPr>
                <w:rFonts w:asciiTheme="minorHAnsi" w:hAnsiTheme="minorHAnsi" w:cstheme="minorHAnsi"/>
                <w:sz w:val="18"/>
                <w:szCs w:val="18"/>
              </w:rPr>
            </w:pPr>
          </w:p>
        </w:tc>
        <w:tc>
          <w:tcPr>
            <w:tcW w:w="1890" w:type="dxa"/>
          </w:tcPr>
          <w:p w14:paraId="27E3F326" w14:textId="77777777" w:rsidR="00836E0F" w:rsidRPr="006E777A" w:rsidRDefault="00836E0F" w:rsidP="00836E0F">
            <w:pPr>
              <w:ind w:left="0"/>
              <w:rPr>
                <w:rFonts w:asciiTheme="minorHAnsi" w:hAnsiTheme="minorHAnsi" w:cstheme="minorHAnsi"/>
                <w:sz w:val="18"/>
                <w:szCs w:val="18"/>
              </w:rPr>
            </w:pPr>
          </w:p>
        </w:tc>
        <w:tc>
          <w:tcPr>
            <w:tcW w:w="1980" w:type="dxa"/>
          </w:tcPr>
          <w:p w14:paraId="6EF3C3CE" w14:textId="77777777" w:rsidR="00836E0F" w:rsidRPr="006E777A" w:rsidRDefault="00836E0F" w:rsidP="00836E0F">
            <w:pPr>
              <w:ind w:left="0"/>
              <w:rPr>
                <w:rFonts w:asciiTheme="minorHAnsi" w:hAnsiTheme="minorHAnsi" w:cstheme="minorHAnsi"/>
                <w:sz w:val="18"/>
                <w:szCs w:val="18"/>
              </w:rPr>
            </w:pPr>
          </w:p>
        </w:tc>
      </w:tr>
      <w:tr w:rsidR="00836E0F" w:rsidRPr="006E777A" w14:paraId="56750BC6" w14:textId="77777777" w:rsidTr="006E777A">
        <w:trPr>
          <w:jc w:val="center"/>
        </w:trPr>
        <w:tc>
          <w:tcPr>
            <w:tcW w:w="6835" w:type="dxa"/>
          </w:tcPr>
          <w:p w14:paraId="0D6DDB14" w14:textId="35459548" w:rsidR="00836E0F" w:rsidRPr="006E777A" w:rsidRDefault="006E777A" w:rsidP="00836E0F">
            <w:pPr>
              <w:rPr>
                <w:rFonts w:asciiTheme="minorHAnsi" w:hAnsiTheme="minorHAnsi" w:cstheme="minorHAnsi"/>
                <w:sz w:val="18"/>
                <w:szCs w:val="18"/>
              </w:rPr>
            </w:pPr>
            <w:r w:rsidRPr="006E777A">
              <w:rPr>
                <w:rFonts w:asciiTheme="minorHAnsi" w:hAnsiTheme="minorHAnsi" w:cstheme="minorHAnsi"/>
                <w:sz w:val="18"/>
                <w:szCs w:val="18"/>
              </w:rPr>
              <w:t xml:space="preserve">Offeror’s </w:t>
            </w:r>
            <w:r w:rsidR="00836E0F" w:rsidRPr="006E777A">
              <w:rPr>
                <w:rFonts w:asciiTheme="minorHAnsi" w:hAnsiTheme="minorHAnsi" w:cstheme="minorHAnsi"/>
                <w:sz w:val="18"/>
                <w:szCs w:val="18"/>
              </w:rPr>
              <w:t xml:space="preserve">Optional Element </w:t>
            </w:r>
          </w:p>
          <w:p w14:paraId="4A7A38AD" w14:textId="77777777" w:rsidR="00836E0F" w:rsidRPr="006E777A" w:rsidRDefault="00836E0F" w:rsidP="00836E0F">
            <w:pPr>
              <w:rPr>
                <w:rFonts w:asciiTheme="minorHAnsi" w:hAnsiTheme="minorHAnsi" w:cstheme="minorHAnsi"/>
                <w:sz w:val="18"/>
                <w:szCs w:val="18"/>
              </w:rPr>
            </w:pPr>
          </w:p>
        </w:tc>
        <w:tc>
          <w:tcPr>
            <w:tcW w:w="1890" w:type="dxa"/>
          </w:tcPr>
          <w:p w14:paraId="4DDD1758" w14:textId="77777777" w:rsidR="00836E0F" w:rsidRPr="006E777A" w:rsidRDefault="00836E0F" w:rsidP="00836E0F">
            <w:pPr>
              <w:ind w:left="0"/>
              <w:rPr>
                <w:rFonts w:asciiTheme="minorHAnsi" w:hAnsiTheme="minorHAnsi" w:cstheme="minorHAnsi"/>
                <w:sz w:val="18"/>
                <w:szCs w:val="18"/>
              </w:rPr>
            </w:pPr>
          </w:p>
        </w:tc>
        <w:tc>
          <w:tcPr>
            <w:tcW w:w="1980" w:type="dxa"/>
          </w:tcPr>
          <w:p w14:paraId="35D56449" w14:textId="77777777" w:rsidR="00836E0F" w:rsidRPr="006E777A" w:rsidRDefault="00836E0F" w:rsidP="00836E0F">
            <w:pPr>
              <w:ind w:left="0"/>
              <w:rPr>
                <w:rFonts w:asciiTheme="minorHAnsi" w:hAnsiTheme="minorHAnsi" w:cstheme="minorHAnsi"/>
                <w:sz w:val="18"/>
                <w:szCs w:val="18"/>
              </w:rPr>
            </w:pPr>
          </w:p>
        </w:tc>
      </w:tr>
    </w:tbl>
    <w:p w14:paraId="6351A12A" w14:textId="77777777" w:rsidR="00047D8F" w:rsidRPr="0095586E" w:rsidRDefault="00047D8F" w:rsidP="001B6C4A">
      <w:pPr>
        <w:ind w:left="0"/>
        <w:rPr>
          <w:rFonts w:asciiTheme="minorHAnsi" w:hAnsiTheme="minorHAnsi"/>
          <w:sz w:val="22"/>
          <w:szCs w:val="22"/>
        </w:rPr>
      </w:pPr>
    </w:p>
    <w:sectPr w:rsidR="00047D8F" w:rsidRPr="0095586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4B073" w14:textId="77777777" w:rsidR="00655003" w:rsidRDefault="00655003" w:rsidP="00047D8F">
      <w:r>
        <w:separator/>
      </w:r>
    </w:p>
  </w:endnote>
  <w:endnote w:type="continuationSeparator" w:id="0">
    <w:p w14:paraId="6D144A0C" w14:textId="77777777" w:rsidR="00655003" w:rsidRDefault="00655003" w:rsidP="0004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75400"/>
      <w:docPartObj>
        <w:docPartGallery w:val="Page Numbers (Bottom of Page)"/>
        <w:docPartUnique/>
      </w:docPartObj>
    </w:sdtPr>
    <w:sdtContent>
      <w:sdt>
        <w:sdtPr>
          <w:id w:val="1728636285"/>
          <w:docPartObj>
            <w:docPartGallery w:val="Page Numbers (Top of Page)"/>
            <w:docPartUnique/>
          </w:docPartObj>
        </w:sdtPr>
        <w:sdtContent>
          <w:p w14:paraId="4E234C8A" w14:textId="103C569A" w:rsidR="001B6C4A" w:rsidRDefault="001B6C4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275486" w14:textId="77777777" w:rsidR="001B6C4A" w:rsidRDefault="001B6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0AB89" w14:textId="77777777" w:rsidR="00655003" w:rsidRDefault="00655003" w:rsidP="00047D8F">
      <w:r>
        <w:separator/>
      </w:r>
    </w:p>
  </w:footnote>
  <w:footnote w:type="continuationSeparator" w:id="0">
    <w:p w14:paraId="34B67B66" w14:textId="77777777" w:rsidR="00655003" w:rsidRDefault="00655003" w:rsidP="00047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6EF7E" w14:textId="78D509F4" w:rsidR="00047D8F" w:rsidRPr="00047D8F" w:rsidRDefault="00047D8F" w:rsidP="00047D8F">
    <w:pPr>
      <w:pStyle w:val="Header"/>
      <w:jc w:val="center"/>
      <w:rPr>
        <w:rFonts w:asciiTheme="minorHAnsi" w:hAnsiTheme="minorHAnsi" w:cstheme="minorHAnsi"/>
        <w:b/>
        <w:bCs/>
        <w:sz w:val="40"/>
        <w:szCs w:val="40"/>
      </w:rPr>
    </w:pPr>
    <w:r w:rsidRPr="00047D8F">
      <w:rPr>
        <w:rFonts w:asciiTheme="minorHAnsi" w:hAnsiTheme="minorHAnsi" w:cstheme="minorHAnsi"/>
        <w:b/>
        <w:bCs/>
        <w:sz w:val="40"/>
        <w:szCs w:val="40"/>
      </w:rPr>
      <w:t>Attachment 1 Pricing Schedule</w:t>
    </w:r>
  </w:p>
  <w:p w14:paraId="7758439F" w14:textId="48305732" w:rsidR="00047D8F" w:rsidRPr="00047D8F" w:rsidRDefault="00047D8F" w:rsidP="00047D8F">
    <w:pPr>
      <w:pStyle w:val="Header"/>
      <w:jc w:val="center"/>
      <w:rPr>
        <w:rFonts w:asciiTheme="minorHAnsi" w:hAnsiTheme="minorHAnsi" w:cstheme="minorHAnsi"/>
        <w:b/>
        <w:bCs/>
        <w:sz w:val="28"/>
        <w:szCs w:val="28"/>
      </w:rPr>
    </w:pPr>
    <w:r w:rsidRPr="00047D8F">
      <w:rPr>
        <w:rFonts w:asciiTheme="minorHAnsi" w:hAnsiTheme="minorHAnsi" w:cstheme="minorHAnsi"/>
        <w:b/>
        <w:bCs/>
        <w:sz w:val="28"/>
        <w:szCs w:val="28"/>
      </w:rPr>
      <w:t>YH22-0001</w:t>
    </w:r>
  </w:p>
  <w:p w14:paraId="0C37C6E1" w14:textId="77777777" w:rsidR="00047D8F" w:rsidRPr="00047D8F" w:rsidRDefault="00047D8F">
    <w:pPr>
      <w:pStyle w:val="Header"/>
      <w:rPr>
        <w:rFonts w:asciiTheme="minorHAnsi" w:hAnsiTheme="minorHAnsi" w:cstheme="minorHAnsi"/>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4314"/>
    <w:multiLevelType w:val="multilevel"/>
    <w:tmpl w:val="62166E8A"/>
    <w:lvl w:ilvl="0">
      <w:start w:val="1"/>
      <w:numFmt w:val="decimal"/>
      <w:lvlText w:val="%1"/>
      <w:lvlJc w:val="left"/>
      <w:pPr>
        <w:ind w:left="360" w:hanging="360"/>
      </w:pPr>
      <w:rPr>
        <w:rFonts w:hint="default"/>
      </w:rPr>
    </w:lvl>
    <w:lvl w:ilvl="1">
      <w:start w:val="1"/>
      <w:numFmt w:val="decimal"/>
      <w:lvlText w:val="%1.%2"/>
      <w:lvlJc w:val="left"/>
      <w:pPr>
        <w:ind w:left="1260" w:hanging="360"/>
      </w:pPr>
      <w:rPr>
        <w:rFonts w:asciiTheme="minorHAnsi" w:hAnsiTheme="minorHAnsi" w:hint="default"/>
        <w:b w:val="0"/>
        <w:sz w:val="22"/>
        <w:szCs w:val="22"/>
      </w:rPr>
    </w:lvl>
    <w:lvl w:ilvl="2">
      <w:start w:val="1"/>
      <w:numFmt w:val="decimal"/>
      <w:lvlText w:val="%1.%2.%3"/>
      <w:lvlJc w:val="left"/>
      <w:pPr>
        <w:ind w:left="2880" w:hanging="720"/>
      </w:pPr>
      <w:rPr>
        <w:rFonts w:hint="default"/>
        <w:sz w:val="22"/>
        <w:szCs w:val="22"/>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 w15:restartNumberingAfterBreak="0">
    <w:nsid w:val="1190647C"/>
    <w:multiLevelType w:val="multilevel"/>
    <w:tmpl w:val="46A6C2E2"/>
    <w:lvl w:ilvl="0">
      <w:start w:val="2"/>
      <w:numFmt w:val="decimal"/>
      <w:lvlText w:val="%1"/>
      <w:lvlJc w:val="left"/>
      <w:pPr>
        <w:ind w:left="360" w:hanging="360"/>
      </w:pPr>
      <w:rPr>
        <w:rFonts w:ascii="Times New Roman" w:hAnsi="Times New Roman" w:cs="Times New Roman" w:hint="default"/>
        <w:b w:val="0"/>
        <w:sz w:val="20"/>
      </w:rPr>
    </w:lvl>
    <w:lvl w:ilvl="1">
      <w:start w:val="1"/>
      <w:numFmt w:val="decimal"/>
      <w:lvlText w:val="%1.%2"/>
      <w:lvlJc w:val="left"/>
      <w:pPr>
        <w:ind w:left="540" w:hanging="360"/>
      </w:pPr>
      <w:rPr>
        <w:rFonts w:asciiTheme="minorHAnsi" w:hAnsiTheme="minorHAnsi" w:cs="Times New Roman" w:hint="default"/>
        <w:b w:val="0"/>
        <w:sz w:val="22"/>
        <w:szCs w:val="22"/>
      </w:rPr>
    </w:lvl>
    <w:lvl w:ilvl="2">
      <w:start w:val="1"/>
      <w:numFmt w:val="decimal"/>
      <w:lvlText w:val="%1.%2.%3"/>
      <w:lvlJc w:val="left"/>
      <w:pPr>
        <w:ind w:left="1080" w:hanging="720"/>
      </w:pPr>
      <w:rPr>
        <w:rFonts w:ascii="Times New Roman" w:hAnsi="Times New Roman" w:cs="Times New Roman" w:hint="default"/>
        <w:b w:val="0"/>
        <w:sz w:val="20"/>
      </w:rPr>
    </w:lvl>
    <w:lvl w:ilvl="3">
      <w:start w:val="1"/>
      <w:numFmt w:val="decimal"/>
      <w:lvlText w:val="%1.%2.%3.%4"/>
      <w:lvlJc w:val="left"/>
      <w:pPr>
        <w:ind w:left="1260" w:hanging="720"/>
      </w:pPr>
      <w:rPr>
        <w:rFonts w:ascii="Times New Roman" w:hAnsi="Times New Roman" w:cs="Times New Roman" w:hint="default"/>
        <w:b w:val="0"/>
        <w:sz w:val="20"/>
      </w:rPr>
    </w:lvl>
    <w:lvl w:ilvl="4">
      <w:start w:val="1"/>
      <w:numFmt w:val="decimal"/>
      <w:lvlText w:val="%1.%2.%3.%4.%5"/>
      <w:lvlJc w:val="left"/>
      <w:pPr>
        <w:ind w:left="1800" w:hanging="1080"/>
      </w:pPr>
      <w:rPr>
        <w:rFonts w:ascii="Times New Roman" w:hAnsi="Times New Roman" w:cs="Times New Roman" w:hint="default"/>
        <w:b w:val="0"/>
        <w:sz w:val="20"/>
      </w:rPr>
    </w:lvl>
    <w:lvl w:ilvl="5">
      <w:start w:val="1"/>
      <w:numFmt w:val="decimal"/>
      <w:lvlText w:val="%1.%2.%3.%4.%5.%6"/>
      <w:lvlJc w:val="left"/>
      <w:pPr>
        <w:ind w:left="1980" w:hanging="1080"/>
      </w:pPr>
      <w:rPr>
        <w:rFonts w:ascii="Times New Roman" w:hAnsi="Times New Roman" w:cs="Times New Roman" w:hint="default"/>
        <w:b w:val="0"/>
        <w:sz w:val="20"/>
      </w:rPr>
    </w:lvl>
    <w:lvl w:ilvl="6">
      <w:start w:val="1"/>
      <w:numFmt w:val="decimal"/>
      <w:lvlText w:val="%1.%2.%3.%4.%5.%6.%7"/>
      <w:lvlJc w:val="left"/>
      <w:pPr>
        <w:ind w:left="2520" w:hanging="1440"/>
      </w:pPr>
      <w:rPr>
        <w:rFonts w:ascii="Times New Roman" w:hAnsi="Times New Roman" w:cs="Times New Roman" w:hint="default"/>
        <w:b w:val="0"/>
        <w:sz w:val="20"/>
      </w:rPr>
    </w:lvl>
    <w:lvl w:ilvl="7">
      <w:start w:val="1"/>
      <w:numFmt w:val="decimal"/>
      <w:lvlText w:val="%1.%2.%3.%4.%5.%6.%7.%8"/>
      <w:lvlJc w:val="left"/>
      <w:pPr>
        <w:ind w:left="2700" w:hanging="1440"/>
      </w:pPr>
      <w:rPr>
        <w:rFonts w:ascii="Times New Roman" w:hAnsi="Times New Roman" w:cs="Times New Roman" w:hint="default"/>
        <w:b w:val="0"/>
        <w:sz w:val="20"/>
      </w:rPr>
    </w:lvl>
    <w:lvl w:ilvl="8">
      <w:start w:val="1"/>
      <w:numFmt w:val="decimal"/>
      <w:lvlText w:val="%1.%2.%3.%4.%5.%6.%7.%8.%9"/>
      <w:lvlJc w:val="left"/>
      <w:pPr>
        <w:ind w:left="3240" w:hanging="1800"/>
      </w:pPr>
      <w:rPr>
        <w:rFonts w:ascii="Times New Roman" w:hAnsi="Times New Roman" w:cs="Times New Roman" w:hint="default"/>
        <w:b w:val="0"/>
        <w:sz w:val="20"/>
      </w:rPr>
    </w:lvl>
  </w:abstractNum>
  <w:abstractNum w:abstractNumId="2" w15:restartNumberingAfterBreak="0">
    <w:nsid w:val="1C841A0B"/>
    <w:multiLevelType w:val="hybridMultilevel"/>
    <w:tmpl w:val="51C446DE"/>
    <w:lvl w:ilvl="0" w:tplc="8B2C95CE">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9F6666"/>
    <w:multiLevelType w:val="multilevel"/>
    <w:tmpl w:val="4E266184"/>
    <w:lvl w:ilvl="0">
      <w:start w:val="4"/>
      <w:numFmt w:val="decimal"/>
      <w:lvlText w:val="%1"/>
      <w:lvlJc w:val="left"/>
      <w:pPr>
        <w:ind w:left="360" w:hanging="360"/>
      </w:pPr>
      <w:rPr>
        <w:b w:val="0"/>
      </w:rPr>
    </w:lvl>
    <w:lvl w:ilvl="1">
      <w:start w:val="1"/>
      <w:numFmt w:val="decimal"/>
      <w:lvlText w:val="%1.%2"/>
      <w:lvlJc w:val="left"/>
      <w:pPr>
        <w:ind w:left="1620" w:hanging="360"/>
      </w:pPr>
      <w:rPr>
        <w:b w:val="0"/>
      </w:rPr>
    </w:lvl>
    <w:lvl w:ilvl="2">
      <w:start w:val="1"/>
      <w:numFmt w:val="decimal"/>
      <w:lvlText w:val="%1."/>
      <w:lvlJc w:val="left"/>
      <w:pPr>
        <w:ind w:left="3240" w:hanging="720"/>
      </w:pPr>
      <w:rPr>
        <w:b w:val="0"/>
      </w:rPr>
    </w:lvl>
    <w:lvl w:ilvl="3">
      <w:start w:val="1"/>
      <w:numFmt w:val="decimal"/>
      <w:lvlText w:val="%1.%2.%3.%4"/>
      <w:lvlJc w:val="left"/>
      <w:pPr>
        <w:ind w:left="4500" w:hanging="720"/>
      </w:pPr>
      <w:rPr>
        <w:b w:val="0"/>
      </w:rPr>
    </w:lvl>
    <w:lvl w:ilvl="4">
      <w:start w:val="1"/>
      <w:numFmt w:val="decimal"/>
      <w:lvlText w:val="%1.%2.%3.%4.%5"/>
      <w:lvlJc w:val="left"/>
      <w:pPr>
        <w:ind w:left="6120" w:hanging="1080"/>
      </w:pPr>
      <w:rPr>
        <w:b w:val="0"/>
      </w:rPr>
    </w:lvl>
    <w:lvl w:ilvl="5">
      <w:start w:val="1"/>
      <w:numFmt w:val="decimal"/>
      <w:lvlText w:val="%1.%2.%3.%4.%5.%6"/>
      <w:lvlJc w:val="left"/>
      <w:pPr>
        <w:ind w:left="7380" w:hanging="1080"/>
      </w:pPr>
      <w:rPr>
        <w:b w:val="0"/>
      </w:rPr>
    </w:lvl>
    <w:lvl w:ilvl="6">
      <w:start w:val="1"/>
      <w:numFmt w:val="decimal"/>
      <w:lvlText w:val="%1.%2.%3.%4.%5.%6.%7"/>
      <w:lvlJc w:val="left"/>
      <w:pPr>
        <w:ind w:left="9000" w:hanging="1440"/>
      </w:pPr>
      <w:rPr>
        <w:b w:val="0"/>
      </w:rPr>
    </w:lvl>
    <w:lvl w:ilvl="7">
      <w:start w:val="1"/>
      <w:numFmt w:val="decimal"/>
      <w:lvlText w:val="%1.%2.%3.%4.%5.%6.%7.%8"/>
      <w:lvlJc w:val="left"/>
      <w:pPr>
        <w:ind w:left="10260" w:hanging="1440"/>
      </w:pPr>
      <w:rPr>
        <w:b w:val="0"/>
      </w:rPr>
    </w:lvl>
    <w:lvl w:ilvl="8">
      <w:start w:val="1"/>
      <w:numFmt w:val="decimal"/>
      <w:lvlText w:val="%1.%2.%3.%4.%5.%6.%7.%8.%9"/>
      <w:lvlJc w:val="left"/>
      <w:pPr>
        <w:ind w:left="11880" w:hanging="1800"/>
      </w:pPr>
      <w:rPr>
        <w:b w:val="0"/>
      </w:rPr>
    </w:lvl>
  </w:abstractNum>
  <w:abstractNum w:abstractNumId="4" w15:restartNumberingAfterBreak="0">
    <w:nsid w:val="3B074D89"/>
    <w:multiLevelType w:val="multilevel"/>
    <w:tmpl w:val="6624CB22"/>
    <w:lvl w:ilvl="0">
      <w:start w:val="3"/>
      <w:numFmt w:val="decimal"/>
      <w:lvlText w:val="%1"/>
      <w:lvlJc w:val="left"/>
      <w:pPr>
        <w:ind w:left="360" w:hanging="360"/>
      </w:pPr>
    </w:lvl>
    <w:lvl w:ilvl="1">
      <w:start w:val="1"/>
      <w:numFmt w:val="decimal"/>
      <w:lvlText w:val="%1."/>
      <w:lvlJc w:val="left"/>
      <w:pPr>
        <w:ind w:left="1170" w:hanging="360"/>
      </w:pPr>
    </w:lvl>
    <w:lvl w:ilvl="2">
      <w:start w:val="1"/>
      <w:numFmt w:val="decimal"/>
      <w:lvlText w:val="%1.%2.%3"/>
      <w:lvlJc w:val="left"/>
      <w:pPr>
        <w:ind w:left="2340" w:hanging="720"/>
      </w:pPr>
    </w:lvl>
    <w:lvl w:ilvl="3">
      <w:start w:val="1"/>
      <w:numFmt w:val="decimal"/>
      <w:lvlText w:val="%1.%2.%3.%4"/>
      <w:lvlJc w:val="left"/>
      <w:pPr>
        <w:ind w:left="3150" w:hanging="720"/>
      </w:pPr>
    </w:lvl>
    <w:lvl w:ilvl="4">
      <w:start w:val="1"/>
      <w:numFmt w:val="decimal"/>
      <w:lvlText w:val="%1.%2.%3.%4.%5"/>
      <w:lvlJc w:val="left"/>
      <w:pPr>
        <w:ind w:left="4320" w:hanging="1080"/>
      </w:pPr>
    </w:lvl>
    <w:lvl w:ilvl="5">
      <w:start w:val="1"/>
      <w:numFmt w:val="decimal"/>
      <w:lvlText w:val="%1.%2.%3.%4.%5.%6"/>
      <w:lvlJc w:val="left"/>
      <w:pPr>
        <w:ind w:left="5130" w:hanging="1080"/>
      </w:pPr>
    </w:lvl>
    <w:lvl w:ilvl="6">
      <w:start w:val="1"/>
      <w:numFmt w:val="decimal"/>
      <w:lvlText w:val="%1.%2.%3.%4.%5.%6.%7"/>
      <w:lvlJc w:val="left"/>
      <w:pPr>
        <w:ind w:left="6300" w:hanging="1440"/>
      </w:pPr>
    </w:lvl>
    <w:lvl w:ilvl="7">
      <w:start w:val="1"/>
      <w:numFmt w:val="decimal"/>
      <w:lvlText w:val="%1.%2.%3.%4.%5.%6.%7.%8"/>
      <w:lvlJc w:val="left"/>
      <w:pPr>
        <w:ind w:left="7110" w:hanging="1440"/>
      </w:pPr>
    </w:lvl>
    <w:lvl w:ilvl="8">
      <w:start w:val="1"/>
      <w:numFmt w:val="decimal"/>
      <w:lvlText w:val="%1.%2.%3.%4.%5.%6.%7.%8.%9"/>
      <w:lvlJc w:val="left"/>
      <w:pPr>
        <w:ind w:left="79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D8F"/>
    <w:rsid w:val="00047D8F"/>
    <w:rsid w:val="00171887"/>
    <w:rsid w:val="001B5925"/>
    <w:rsid w:val="001B6C4A"/>
    <w:rsid w:val="004B51AE"/>
    <w:rsid w:val="00532237"/>
    <w:rsid w:val="00655003"/>
    <w:rsid w:val="006E777A"/>
    <w:rsid w:val="00836E0F"/>
    <w:rsid w:val="00C14641"/>
    <w:rsid w:val="00C20226"/>
    <w:rsid w:val="00DD05F0"/>
    <w:rsid w:val="00E22A7B"/>
    <w:rsid w:val="00EC03D1"/>
    <w:rsid w:val="06AE269C"/>
    <w:rsid w:val="469858BB"/>
    <w:rsid w:val="51320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CA91B5"/>
  <w15:chartTrackingRefBased/>
  <w15:docId w15:val="{24D577C8-8DCE-4867-9026-6DEFAAF6F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D8F"/>
    <w:pPr>
      <w:spacing w:after="0" w:line="240" w:lineRule="auto"/>
      <w:ind w:left="180" w:right="18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04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47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D8F"/>
    <w:pPr>
      <w:tabs>
        <w:tab w:val="center" w:pos="4680"/>
        <w:tab w:val="right" w:pos="9360"/>
      </w:tabs>
    </w:pPr>
  </w:style>
  <w:style w:type="character" w:customStyle="1" w:styleId="HeaderChar">
    <w:name w:val="Header Char"/>
    <w:basedOn w:val="DefaultParagraphFont"/>
    <w:link w:val="Header"/>
    <w:uiPriority w:val="99"/>
    <w:rsid w:val="00047D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47D8F"/>
    <w:pPr>
      <w:tabs>
        <w:tab w:val="center" w:pos="4680"/>
        <w:tab w:val="right" w:pos="9360"/>
      </w:tabs>
    </w:pPr>
  </w:style>
  <w:style w:type="character" w:customStyle="1" w:styleId="FooterChar">
    <w:name w:val="Footer Char"/>
    <w:basedOn w:val="DefaultParagraphFont"/>
    <w:link w:val="Footer"/>
    <w:uiPriority w:val="99"/>
    <w:rsid w:val="00047D8F"/>
    <w:rPr>
      <w:rFonts w:ascii="Times New Roman" w:eastAsia="Times New Roman" w:hAnsi="Times New Roman" w:cs="Times New Roman"/>
      <w:sz w:val="20"/>
      <w:szCs w:val="20"/>
    </w:rPr>
  </w:style>
  <w:style w:type="paragraph" w:styleId="ListParagraph">
    <w:name w:val="List Paragraph"/>
    <w:basedOn w:val="Normal"/>
    <w:uiPriority w:val="34"/>
    <w:qFormat/>
    <w:rsid w:val="006E77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1CF0C730E6847A2038B7F79C597C9" ma:contentTypeVersion="11" ma:contentTypeDescription="Create a new document." ma:contentTypeScope="" ma:versionID="f87e922dc0b2f721bbb908f48077f33f">
  <xsd:schema xmlns:xsd="http://www.w3.org/2001/XMLSchema" xmlns:xs="http://www.w3.org/2001/XMLSchema" xmlns:p="http://schemas.microsoft.com/office/2006/metadata/properties" xmlns:ns2="1faca15a-3c03-4c1c-87f9-bf4645fde1eb" xmlns:ns3="1530ef38-e973-40cf-a0e8-43d496c470d5" targetNamespace="http://schemas.microsoft.com/office/2006/metadata/properties" ma:root="true" ma:fieldsID="6fcb127a4b081bc4decba74826c40555" ns2:_="" ns3:_="">
    <xsd:import namespace="1faca15a-3c03-4c1c-87f9-bf4645fde1eb"/>
    <xsd:import namespace="1530ef38-e973-40cf-a0e8-43d496c470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aca15a-3c03-4c1c-87f9-bf4645fde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30ef38-e973-40cf-a0e8-43d496c470d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46FD8F9-B170-4FBF-AD3C-912491463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aca15a-3c03-4c1c-87f9-bf4645fde1eb"/>
    <ds:schemaRef ds:uri="1530ef38-e973-40cf-a0e8-43d496c47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36B950-10E3-4B3A-8B2E-222B78C17872}">
  <ds:schemaRefs>
    <ds:schemaRef ds:uri="http://schemas.microsoft.com/sharepoint/v3/contenttype/forms"/>
  </ds:schemaRefs>
</ds:datastoreItem>
</file>

<file path=customXml/itemProps3.xml><?xml version="1.0" encoding="utf-8"?>
<ds:datastoreItem xmlns:ds="http://schemas.openxmlformats.org/officeDocument/2006/customXml" ds:itemID="{FED66A3A-CC85-4B49-ACD2-75034A31770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Ingalls, Stacy</dc:creator>
  <cp:keywords/>
  <dc:description/>
  <cp:lastModifiedBy>LaPorte, Meggan</cp:lastModifiedBy>
  <cp:revision>6</cp:revision>
  <dcterms:created xsi:type="dcterms:W3CDTF">2021-07-21T13:01:00Z</dcterms:created>
  <dcterms:modified xsi:type="dcterms:W3CDTF">2021-09-16T23:33:00Z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0x010100D851CF0C730E6847A2038B7F79C597C9</vt:lpwstr>
  </property>
</Properties>
</file>