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73283" w14:textId="77777777" w:rsidR="008B58F6" w:rsidRPr="00EB3321" w:rsidRDefault="00EB3321" w:rsidP="00EB332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B3321">
        <w:rPr>
          <w:b/>
          <w:sz w:val="24"/>
          <w:szCs w:val="24"/>
          <w:u w:val="single"/>
        </w:rPr>
        <w:t>Additional Resource Links</w:t>
      </w:r>
    </w:p>
    <w:p w14:paraId="02B73284" w14:textId="77777777" w:rsidR="00EB3321" w:rsidRDefault="00EB3321">
      <w:pPr>
        <w:rPr>
          <w:sz w:val="24"/>
          <w:szCs w:val="24"/>
        </w:rPr>
      </w:pPr>
    </w:p>
    <w:p w14:paraId="02B73285" w14:textId="77777777" w:rsidR="00BA4D82" w:rsidRDefault="00C73529" w:rsidP="00BA4D8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1" w:history="1">
        <w:r w:rsidR="00BA4D82" w:rsidRPr="00BA4D82">
          <w:rPr>
            <w:rStyle w:val="Hyperlink"/>
            <w:sz w:val="24"/>
            <w:szCs w:val="24"/>
          </w:rPr>
          <w:t>Arizona Health Care Cost Containment System (AHCCCS)</w:t>
        </w:r>
      </w:hyperlink>
    </w:p>
    <w:p w14:paraId="02B73286" w14:textId="77777777" w:rsidR="00BA4D82" w:rsidRPr="00BA4D82" w:rsidRDefault="00BA4D82" w:rsidP="00BA4D82">
      <w:pPr>
        <w:rPr>
          <w:sz w:val="24"/>
          <w:szCs w:val="24"/>
        </w:rPr>
      </w:pPr>
    </w:p>
    <w:p w14:paraId="02B73287" w14:textId="77777777" w:rsidR="00BA4D82" w:rsidRDefault="00BA4D82" w:rsidP="00BA4D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Arizona’s Regional Behavioral Health Authorities (RBHAs)</w:t>
      </w:r>
    </w:p>
    <w:p w14:paraId="02B73288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Central: </w:t>
      </w:r>
      <w:hyperlink r:id="rId12" w:history="1">
        <w:r w:rsidRPr="00E3796D">
          <w:rPr>
            <w:rStyle w:val="Hyperlink"/>
            <w:sz w:val="24"/>
            <w:szCs w:val="24"/>
          </w:rPr>
          <w:t>Mercy Care</w:t>
        </w:r>
      </w:hyperlink>
    </w:p>
    <w:p w14:paraId="02B73289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South: </w:t>
      </w:r>
      <w:hyperlink r:id="rId13" w:history="1">
        <w:r w:rsidRPr="00E3796D">
          <w:rPr>
            <w:rStyle w:val="Hyperlink"/>
            <w:sz w:val="24"/>
            <w:szCs w:val="24"/>
          </w:rPr>
          <w:t>Arizona Complete Health</w:t>
        </w:r>
      </w:hyperlink>
    </w:p>
    <w:p w14:paraId="02B7328A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North: </w:t>
      </w:r>
      <w:hyperlink r:id="rId14" w:history="1">
        <w:r w:rsidRPr="00E3796D">
          <w:rPr>
            <w:rStyle w:val="Hyperlink"/>
            <w:sz w:val="24"/>
            <w:szCs w:val="24"/>
          </w:rPr>
          <w:t>Health Choice Arizona</w:t>
        </w:r>
      </w:hyperlink>
    </w:p>
    <w:p w14:paraId="02B7328B" w14:textId="77777777" w:rsidR="00BA4D82" w:rsidRPr="00EB3321" w:rsidRDefault="00BA4D82" w:rsidP="00BA4D82">
      <w:pPr>
        <w:rPr>
          <w:sz w:val="24"/>
          <w:szCs w:val="24"/>
        </w:rPr>
      </w:pPr>
    </w:p>
    <w:p w14:paraId="02B7328C" w14:textId="77777777" w:rsidR="00BA4D82" w:rsidRDefault="00BA4D82" w:rsidP="00BA4D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Arizona’s Tribal Regional Behavioral Health Authorities (TRBHAs)</w:t>
      </w:r>
    </w:p>
    <w:p w14:paraId="02B7328D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Northern: </w:t>
      </w:r>
      <w:hyperlink r:id="rId15" w:history="1">
        <w:r w:rsidRPr="00E3796D">
          <w:rPr>
            <w:rStyle w:val="Hyperlink"/>
            <w:sz w:val="24"/>
            <w:szCs w:val="24"/>
          </w:rPr>
          <w:t>Navajo Nation Tribal Regional Behavioral Health Authority</w:t>
        </w:r>
      </w:hyperlink>
    </w:p>
    <w:p w14:paraId="02B7328E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North and South: </w:t>
      </w:r>
      <w:hyperlink r:id="rId16" w:history="1">
        <w:r w:rsidRPr="00E3796D">
          <w:rPr>
            <w:rStyle w:val="Hyperlink"/>
            <w:sz w:val="24"/>
            <w:szCs w:val="24"/>
          </w:rPr>
          <w:t>White Mountain Apache Tribal Regional Behavioral Health Authority</w:t>
        </w:r>
      </w:hyperlink>
    </w:p>
    <w:p w14:paraId="02B7328F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North and South: </w:t>
      </w:r>
      <w:hyperlink r:id="rId17" w:history="1">
        <w:r w:rsidRPr="00E3796D">
          <w:rPr>
            <w:rStyle w:val="Hyperlink"/>
            <w:sz w:val="24"/>
            <w:szCs w:val="24"/>
          </w:rPr>
          <w:t>Gila River Tribal Regional Behavioral Health Authority</w:t>
        </w:r>
      </w:hyperlink>
    </w:p>
    <w:p w14:paraId="02B73290" w14:textId="77777777" w:rsidR="00BA4D82" w:rsidRDefault="00BA4D82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South: </w:t>
      </w:r>
      <w:hyperlink r:id="rId18" w:history="1">
        <w:r w:rsidRPr="00E3796D">
          <w:rPr>
            <w:rStyle w:val="Hyperlink"/>
            <w:sz w:val="24"/>
            <w:szCs w:val="24"/>
          </w:rPr>
          <w:t>Pascua Yaqui Tribal Regional Behavioral Health Authority</w:t>
        </w:r>
      </w:hyperlink>
    </w:p>
    <w:p w14:paraId="02B73291" w14:textId="77777777" w:rsidR="00BA4D82" w:rsidRDefault="00BA4D82" w:rsidP="00BA4D82">
      <w:pPr>
        <w:pStyle w:val="ListParagraph"/>
        <w:rPr>
          <w:sz w:val="24"/>
          <w:szCs w:val="24"/>
        </w:rPr>
      </w:pPr>
    </w:p>
    <w:p w14:paraId="02B73292" w14:textId="29029A2B" w:rsidR="00BA4D82" w:rsidRDefault="00BA4D82" w:rsidP="00BA4D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AHCCCS </w:t>
      </w:r>
      <w:r w:rsidR="003A6867">
        <w:rPr>
          <w:sz w:val="24"/>
          <w:szCs w:val="24"/>
        </w:rPr>
        <w:t>Managed Care Organizations (</w:t>
      </w:r>
      <w:r>
        <w:rPr>
          <w:sz w:val="24"/>
          <w:szCs w:val="24"/>
        </w:rPr>
        <w:t>MCOs</w:t>
      </w:r>
      <w:r w:rsidR="003A6867">
        <w:rPr>
          <w:sz w:val="24"/>
          <w:szCs w:val="24"/>
        </w:rPr>
        <w:t>)</w:t>
      </w:r>
    </w:p>
    <w:p w14:paraId="02B73293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9" w:history="1">
        <w:r w:rsidR="00BA4D82" w:rsidRPr="00E3796D">
          <w:rPr>
            <w:rStyle w:val="Hyperlink"/>
            <w:sz w:val="24"/>
            <w:szCs w:val="24"/>
          </w:rPr>
          <w:t>Mercy Care</w:t>
        </w:r>
      </w:hyperlink>
    </w:p>
    <w:p w14:paraId="02B73294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0" w:history="1">
        <w:r w:rsidR="00BA4D82" w:rsidRPr="00E3796D">
          <w:rPr>
            <w:rStyle w:val="Hyperlink"/>
            <w:sz w:val="24"/>
            <w:szCs w:val="24"/>
          </w:rPr>
          <w:t>Arizona Complete Health</w:t>
        </w:r>
      </w:hyperlink>
    </w:p>
    <w:p w14:paraId="02B73295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1" w:history="1">
        <w:r w:rsidR="00BA4D82" w:rsidRPr="00E3796D">
          <w:rPr>
            <w:rStyle w:val="Hyperlink"/>
            <w:sz w:val="24"/>
            <w:szCs w:val="24"/>
          </w:rPr>
          <w:t>Health Choice Arizona</w:t>
        </w:r>
      </w:hyperlink>
    </w:p>
    <w:p w14:paraId="02B73296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2" w:history="1">
        <w:r w:rsidR="00BA4D82" w:rsidRPr="00E3796D">
          <w:rPr>
            <w:rStyle w:val="Hyperlink"/>
            <w:sz w:val="24"/>
            <w:szCs w:val="24"/>
          </w:rPr>
          <w:t>Care1st</w:t>
        </w:r>
      </w:hyperlink>
    </w:p>
    <w:p w14:paraId="02B73297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3" w:history="1">
        <w:proofErr w:type="spellStart"/>
        <w:r w:rsidR="00BA4D82" w:rsidRPr="00E3796D">
          <w:rPr>
            <w:rStyle w:val="Hyperlink"/>
            <w:sz w:val="24"/>
            <w:szCs w:val="24"/>
          </w:rPr>
          <w:t>UnitedHealthcare</w:t>
        </w:r>
        <w:proofErr w:type="spellEnd"/>
      </w:hyperlink>
    </w:p>
    <w:p w14:paraId="02B73298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4" w:history="1">
        <w:r w:rsidR="00BA4D82" w:rsidRPr="00E3796D">
          <w:rPr>
            <w:rStyle w:val="Hyperlink"/>
            <w:sz w:val="24"/>
            <w:szCs w:val="24"/>
          </w:rPr>
          <w:t>Banner University Health Plans</w:t>
        </w:r>
      </w:hyperlink>
    </w:p>
    <w:p w14:paraId="02B73299" w14:textId="77777777" w:rsidR="00BA4D82" w:rsidRDefault="00C73529" w:rsidP="00BA4D82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25" w:history="1">
        <w:r w:rsidR="00BA4D82" w:rsidRPr="00E3796D">
          <w:rPr>
            <w:rStyle w:val="Hyperlink"/>
            <w:sz w:val="24"/>
            <w:szCs w:val="24"/>
          </w:rPr>
          <w:t>Magellan Complete Care</w:t>
        </w:r>
      </w:hyperlink>
    </w:p>
    <w:p w14:paraId="02B7329A" w14:textId="77777777" w:rsidR="00BA4D82" w:rsidRPr="00BA4D82" w:rsidRDefault="00BA4D82" w:rsidP="00BA4D82">
      <w:pPr>
        <w:rPr>
          <w:sz w:val="24"/>
          <w:szCs w:val="24"/>
        </w:rPr>
      </w:pPr>
    </w:p>
    <w:p w14:paraId="02B7329B" w14:textId="77777777" w:rsidR="00BA4D82" w:rsidRDefault="00C73529" w:rsidP="00BA4D8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6" w:history="1">
        <w:r w:rsidR="00EB3321" w:rsidRPr="00E3796D">
          <w:rPr>
            <w:rStyle w:val="Hyperlink"/>
            <w:sz w:val="24"/>
            <w:szCs w:val="24"/>
          </w:rPr>
          <w:t>Substance Abuse and Mental Health Services Administration (SAMHSA)</w:t>
        </w:r>
      </w:hyperlink>
    </w:p>
    <w:p w14:paraId="02B7329C" w14:textId="77777777" w:rsidR="00BA4D82" w:rsidRPr="00BA4D82" w:rsidRDefault="00BA4D82" w:rsidP="00BA4D82">
      <w:pPr>
        <w:rPr>
          <w:sz w:val="24"/>
          <w:szCs w:val="24"/>
        </w:rPr>
      </w:pPr>
    </w:p>
    <w:p w14:paraId="02B7329D" w14:textId="47C4FCD7" w:rsidR="00BA4D82" w:rsidRPr="00BA4D82" w:rsidRDefault="00C73529" w:rsidP="00BA4D82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27" w:history="1">
        <w:r w:rsidR="00BA4D82" w:rsidRPr="00BA4D82">
          <w:rPr>
            <w:rStyle w:val="Hyperlink"/>
            <w:sz w:val="24"/>
            <w:szCs w:val="24"/>
          </w:rPr>
          <w:t>U.S. Department of Housing and Urban Development</w:t>
        </w:r>
      </w:hyperlink>
      <w:r w:rsidR="003A6867">
        <w:rPr>
          <w:rStyle w:val="Hyperlink"/>
          <w:sz w:val="24"/>
          <w:szCs w:val="24"/>
        </w:rPr>
        <w:t xml:space="preserve"> (HUD)</w:t>
      </w:r>
    </w:p>
    <w:sectPr w:rsidR="00BA4D82" w:rsidRPr="00BA4D8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732A0" w14:textId="77777777" w:rsidR="00576D1E" w:rsidRDefault="00BA4D82">
      <w:r>
        <w:separator/>
      </w:r>
    </w:p>
  </w:endnote>
  <w:endnote w:type="continuationSeparator" w:id="0">
    <w:p w14:paraId="02B732A1" w14:textId="77777777" w:rsidR="00576D1E" w:rsidRDefault="00BA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32A4" w14:textId="77777777" w:rsidR="008B58F6" w:rsidRDefault="008B5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32A5" w14:textId="77777777" w:rsidR="008B58F6" w:rsidRDefault="008B5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32AB" w14:textId="77777777" w:rsidR="008B58F6" w:rsidRDefault="00BA4D82">
    <w:pPr>
      <w:pBdr>
        <w:top w:val="nil"/>
        <w:left w:val="nil"/>
        <w:bottom w:val="nil"/>
        <w:right w:val="nil"/>
        <w:between w:val="nil"/>
      </w:pBdr>
      <w:spacing w:line="288" w:lineRule="auto"/>
      <w:jc w:val="center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338CCC"/>
        <w:sz w:val="18"/>
        <w:szCs w:val="18"/>
      </w:rPr>
      <w:t>801 East Jefferson, Phoenix, AZ 85034 • PO Box 25520, Phoenix, AZ 85002 •</w:t>
    </w:r>
    <w:r>
      <w:rPr>
        <w:rFonts w:ascii="Questrial" w:eastAsia="Questrial" w:hAnsi="Questrial" w:cs="Questrial"/>
        <w:color w:val="338CCC"/>
        <w:sz w:val="16"/>
        <w:szCs w:val="16"/>
      </w:rPr>
      <w:t xml:space="preserve"> </w:t>
    </w:r>
    <w:r>
      <w:rPr>
        <w:rFonts w:ascii="Arial" w:eastAsia="Arial" w:hAnsi="Arial" w:cs="Arial"/>
        <w:color w:val="338CCC"/>
        <w:sz w:val="18"/>
        <w:szCs w:val="18"/>
      </w:rPr>
      <w:t>602-417-4000 •</w:t>
    </w:r>
    <w:r>
      <w:rPr>
        <w:rFonts w:ascii="Questrial" w:eastAsia="Questrial" w:hAnsi="Questrial" w:cs="Questrial"/>
        <w:color w:val="338CCC"/>
        <w:sz w:val="16"/>
        <w:szCs w:val="16"/>
      </w:rPr>
      <w:t xml:space="preserve"> </w:t>
    </w:r>
    <w:r>
      <w:rPr>
        <w:rFonts w:ascii="Arial" w:eastAsia="Arial" w:hAnsi="Arial" w:cs="Arial"/>
        <w:color w:val="338CCC"/>
        <w:sz w:val="18"/>
        <w:szCs w:val="18"/>
      </w:rPr>
      <w:t xml:space="preserve">www.azahcccs.gov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2B732B0" wp14:editId="02B732B1">
              <wp:simplePos x="0" y="0"/>
              <wp:positionH relativeFrom="column">
                <wp:posOffset>-520699</wp:posOffset>
              </wp:positionH>
              <wp:positionV relativeFrom="paragraph">
                <wp:posOffset>-76199</wp:posOffset>
              </wp:positionV>
              <wp:extent cx="6921500" cy="28575"/>
              <wp:effectExtent l="0" t="0" r="0" b="0"/>
              <wp:wrapSquare wrapText="bothSides" distT="0" distB="0" distL="114300" distR="11430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85250" y="3780000"/>
                        <a:ext cx="6921500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338CCC"/>
                        </a:solidFill>
                        <a:prstDash val="dot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-76199</wp:posOffset>
              </wp:positionV>
              <wp:extent cx="6921500" cy="2857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15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7329E" w14:textId="77777777" w:rsidR="00576D1E" w:rsidRDefault="00BA4D82">
      <w:r>
        <w:separator/>
      </w:r>
    </w:p>
  </w:footnote>
  <w:footnote w:type="continuationSeparator" w:id="0">
    <w:p w14:paraId="02B7329F" w14:textId="77777777" w:rsidR="00576D1E" w:rsidRDefault="00BA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32A2" w14:textId="77777777" w:rsidR="008B58F6" w:rsidRDefault="008B5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32A3" w14:textId="77777777" w:rsidR="008B58F6" w:rsidRDefault="008B5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32A6" w14:textId="77777777" w:rsidR="008B58F6" w:rsidRDefault="00BA4D82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ind w:left="360"/>
      <w:jc w:val="right"/>
      <w:rPr>
        <w:rFonts w:ascii="Questrial" w:eastAsia="Questrial" w:hAnsi="Questrial" w:cs="Questrial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2B732AC" wp14:editId="02B732AD">
          <wp:simplePos x="0" y="0"/>
          <wp:positionH relativeFrom="column">
            <wp:posOffset>-236854</wp:posOffset>
          </wp:positionH>
          <wp:positionV relativeFrom="paragraph">
            <wp:posOffset>-164464</wp:posOffset>
          </wp:positionV>
          <wp:extent cx="2221992" cy="694944"/>
          <wp:effectExtent l="0" t="0" r="0" b="0"/>
          <wp:wrapSquare wrapText="bothSides" distT="0" distB="0" distL="114300" distR="114300"/>
          <wp:docPr id="3" name="image3.jpg" descr="AHCCCS Logo Color RGB-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HCCCS Logo Color RGB-lar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1992" cy="69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B732A7" w14:textId="77777777" w:rsidR="008B58F6" w:rsidRDefault="00BA4D82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line="280" w:lineRule="auto"/>
      <w:jc w:val="right"/>
      <w:rPr>
        <w:rFonts w:ascii="Arial" w:eastAsia="Arial" w:hAnsi="Arial" w:cs="Arial"/>
        <w:b/>
        <w:color w:val="338CCC"/>
      </w:rPr>
    </w:pPr>
    <w:r>
      <w:rPr>
        <w:rFonts w:ascii="Arial" w:eastAsia="Arial" w:hAnsi="Arial" w:cs="Arial"/>
        <w:b/>
        <w:color w:val="338CCC"/>
      </w:rPr>
      <w:t xml:space="preserve">Douglas A. </w:t>
    </w:r>
    <w:proofErr w:type="spellStart"/>
    <w:r>
      <w:rPr>
        <w:rFonts w:ascii="Arial" w:eastAsia="Arial" w:hAnsi="Arial" w:cs="Arial"/>
        <w:b/>
        <w:color w:val="338CCC"/>
      </w:rPr>
      <w:t>Ducey</w:t>
    </w:r>
    <w:proofErr w:type="spellEnd"/>
    <w:r>
      <w:rPr>
        <w:rFonts w:ascii="Arial" w:eastAsia="Arial" w:hAnsi="Arial" w:cs="Arial"/>
        <w:b/>
        <w:color w:val="338CCC"/>
      </w:rPr>
      <w:t>, Governor</w:t>
    </w:r>
  </w:p>
  <w:p w14:paraId="02B732A8" w14:textId="77777777" w:rsidR="008B58F6" w:rsidRDefault="00BA4D82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spacing w:line="280" w:lineRule="auto"/>
      <w:ind w:left="360"/>
      <w:jc w:val="right"/>
      <w:rPr>
        <w:rFonts w:ascii="Arial" w:eastAsia="Arial" w:hAnsi="Arial" w:cs="Arial"/>
        <w:b/>
        <w:color w:val="338CCC"/>
      </w:rPr>
    </w:pPr>
    <w:bookmarkStart w:id="1" w:name="_gjdgxs" w:colFirst="0" w:colLast="0"/>
    <w:bookmarkEnd w:id="1"/>
    <w:r>
      <w:rPr>
        <w:rFonts w:ascii="Arial" w:eastAsia="Arial" w:hAnsi="Arial" w:cs="Arial"/>
        <w:b/>
        <w:color w:val="338CCC"/>
      </w:rPr>
      <w:t>Jami Snyder, Director</w:t>
    </w:r>
  </w:p>
  <w:p w14:paraId="02B732A9" w14:textId="77777777" w:rsidR="008B58F6" w:rsidRDefault="00BA4D8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338CCC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2B732AE" wp14:editId="02B732AF">
              <wp:simplePos x="0" y="0"/>
              <wp:positionH relativeFrom="column">
                <wp:posOffset>-482599</wp:posOffset>
              </wp:positionH>
              <wp:positionV relativeFrom="paragraph">
                <wp:posOffset>50800</wp:posOffset>
              </wp:positionV>
              <wp:extent cx="6921500" cy="28575"/>
              <wp:effectExtent l="0" t="0" r="0" b="0"/>
              <wp:wrapSquare wrapText="bothSides" distT="0" distB="0" distL="114300" distR="11430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85250" y="3780000"/>
                        <a:ext cx="6921500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338CCC"/>
                        </a:solidFill>
                        <a:prstDash val="dot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50800</wp:posOffset>
              </wp:positionV>
              <wp:extent cx="6921500" cy="28575"/>
              <wp:effectExtent b="0" l="0" r="0" t="0"/>
              <wp:wrapSquare wrapText="bothSides" distB="0" distT="0" distL="114300" distR="11430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15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2B732AA" w14:textId="77777777" w:rsidR="008B58F6" w:rsidRDefault="008B58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338C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3964"/>
    <w:multiLevelType w:val="hybridMultilevel"/>
    <w:tmpl w:val="EB02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58F6"/>
    <w:rsid w:val="003A6867"/>
    <w:rsid w:val="00576D1E"/>
    <w:rsid w:val="008B58F6"/>
    <w:rsid w:val="00BA4D82"/>
    <w:rsid w:val="00C73529"/>
    <w:rsid w:val="00E3796D"/>
    <w:rsid w:val="00E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3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Questrial" w:eastAsia="Questrial" w:hAnsi="Questrial" w:cs="Questrial"/>
      <w:b/>
      <w:color w:val="318DCC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318DCC"/>
      </w:pBdr>
      <w:spacing w:after="300"/>
    </w:pPr>
    <w:rPr>
      <w:rFonts w:ascii="Questrial" w:eastAsia="Questrial" w:hAnsi="Questrial" w:cs="Questrial"/>
      <w:color w:val="318DCC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33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3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9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Questrial" w:eastAsia="Questrial" w:hAnsi="Questrial" w:cs="Questrial"/>
      <w:b/>
      <w:color w:val="318DCC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318DCC"/>
      </w:pBdr>
      <w:spacing w:after="300"/>
    </w:pPr>
    <w:rPr>
      <w:rFonts w:ascii="Questrial" w:eastAsia="Questrial" w:hAnsi="Questrial" w:cs="Questrial"/>
      <w:color w:val="318DCC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B33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3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completehealth.com/" TargetMode="External"/><Relationship Id="rId18" Type="http://schemas.openxmlformats.org/officeDocument/2006/relationships/hyperlink" Target="https://www.pascuayaqui-nsn.gov/index.php/behavioral-health-services" TargetMode="External"/><Relationship Id="rId26" Type="http://schemas.openxmlformats.org/officeDocument/2006/relationships/hyperlink" Target="https://www.samhsa.gov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choiceaz.com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ercycareaz.org/" TargetMode="External"/><Relationship Id="rId17" Type="http://schemas.openxmlformats.org/officeDocument/2006/relationships/hyperlink" Target="http://grhc.org/patient-clinical-services/behavioral-health/" TargetMode="External"/><Relationship Id="rId25" Type="http://schemas.openxmlformats.org/officeDocument/2006/relationships/hyperlink" Target="https://www.mccofaz.com/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mabhs.org/" TargetMode="External"/><Relationship Id="rId20" Type="http://schemas.openxmlformats.org/officeDocument/2006/relationships/hyperlink" Target="https://www.azcompletehealth.com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azahcccs.gov/" TargetMode="External"/><Relationship Id="rId24" Type="http://schemas.openxmlformats.org/officeDocument/2006/relationships/hyperlink" Target="https://www.bannerufc.com/acc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navajo-nsn.gov/index.htm" TargetMode="External"/><Relationship Id="rId23" Type="http://schemas.openxmlformats.org/officeDocument/2006/relationships/hyperlink" Target="https://www.uhccommunityplan.com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mercycareaz.org/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healthchoiceaz.com/" TargetMode="External"/><Relationship Id="rId22" Type="http://schemas.openxmlformats.org/officeDocument/2006/relationships/hyperlink" Target="https://www.care1staz.com/az/index.asp" TargetMode="External"/><Relationship Id="rId27" Type="http://schemas.openxmlformats.org/officeDocument/2006/relationships/hyperlink" Target="https://www.hud.gov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8AADB4778934CA5F9763F25D5BA2E" ma:contentTypeVersion="0" ma:contentTypeDescription="Create a new document." ma:contentTypeScope="" ma:versionID="d80bb0f2b526d1a459db5ac3d8c3aa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9CDBD-D959-47EB-8A0C-75389B6853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D3368C-E882-4D43-BBAD-13F4E0D27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4FA9-360A-4C27-8065-68DC726C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Podshadley, Susan</dc:creator>
  <cp:lastModifiedBy>Smolens, Cynthia</cp:lastModifiedBy>
  <cp:revision>2</cp:revision>
  <dcterms:created xsi:type="dcterms:W3CDTF">2020-09-23T00:21:00Z</dcterms:created>
  <dcterms:modified xsi:type="dcterms:W3CDTF">2020-09-23T00:21:00Z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0x010100D518AADB4778934CA5F9763F25D5BA2E</vt:lpwstr>
  </property>
</Properties>
</file>