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5040"/>
        <w:gridCol w:w="3780"/>
      </w:tblGrid>
      <w:tr w:rsidR="003F181F" w:rsidRPr="00BB1FAC" w:rsidTr="009C23B4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9C23B4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9C23B4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9C23B4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9C23B4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:rsidTr="009C23B4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9C23B4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9C23B4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9C23B4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9C23B4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9C23B4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A51FD1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A51FD1">
      <w:rPr>
        <w:rStyle w:val="PageNumber"/>
        <w:noProof/>
      </w:rPr>
      <w:t>1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5214B289" wp14:editId="7F1221C9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9C23B4" w:rsidP="005F0CF6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Drug Rebate Program</w:t>
          </w:r>
          <w:r w:rsidR="00BF2716">
            <w:rPr>
              <w:rFonts w:cs="Calibri"/>
              <w:b/>
              <w:sz w:val="28"/>
              <w:szCs w:val="28"/>
            </w:rPr>
            <w:t xml:space="preserve"> Services</w:t>
          </w:r>
          <w:r>
            <w:rPr>
              <w:rFonts w:cs="Calibri"/>
              <w:b/>
              <w:sz w:val="28"/>
              <w:szCs w:val="28"/>
            </w:rPr>
            <w:t xml:space="preserve"> </w:t>
          </w:r>
          <w:r w:rsidR="00CB06DD">
            <w:rPr>
              <w:rFonts w:cs="Calibri"/>
              <w:b/>
              <w:sz w:val="28"/>
              <w:szCs w:val="28"/>
            </w:rPr>
            <w:t xml:space="preserve">- </w:t>
          </w:r>
          <w:r w:rsidR="005D5AA9">
            <w:rPr>
              <w:rFonts w:cs="Calibri"/>
              <w:b/>
              <w:sz w:val="28"/>
              <w:szCs w:val="28"/>
            </w:rPr>
            <w:t>YH1</w:t>
          </w:r>
          <w:r>
            <w:rPr>
              <w:rFonts w:cs="Calibri"/>
              <w:b/>
              <w:sz w:val="28"/>
              <w:szCs w:val="28"/>
            </w:rPr>
            <w:t>9-0045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9C23B4"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0F69CF" w:rsidRDefault="00BF2716" w:rsidP="000F69C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Questions are due no later than </w:t>
          </w:r>
          <w:r w:rsidR="00A51FD1">
            <w:rPr>
              <w:rFonts w:cs="Calibri"/>
              <w:b/>
              <w:sz w:val="22"/>
              <w:u w:val="single"/>
              <w:lang w:val="en-US" w:eastAsia="en-US"/>
            </w:rPr>
            <w:t>March 11</w:t>
          </w:r>
          <w:r w:rsidRPr="00BF2716">
            <w:rPr>
              <w:rFonts w:cs="Calibri"/>
              <w:b/>
              <w:sz w:val="22"/>
              <w:u w:val="single"/>
              <w:lang w:val="en-US" w:eastAsia="en-US"/>
            </w:rPr>
            <w:t>, 2019</w:t>
          </w:r>
          <w:r w:rsidR="00CB06DD" w:rsidRPr="00BF2716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BF2716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0F69CF" w:rsidRPr="00BF2716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CB06DD" w:rsidRPr="00BF2716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0F69CF" w:rsidRPr="00BF2716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D7FA8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20E43"/>
    <w:rsid w:val="009343CF"/>
    <w:rsid w:val="009348C0"/>
    <w:rsid w:val="00986926"/>
    <w:rsid w:val="009B12FF"/>
    <w:rsid w:val="009C23B4"/>
    <w:rsid w:val="009C391A"/>
    <w:rsid w:val="009C7C2A"/>
    <w:rsid w:val="009E5311"/>
    <w:rsid w:val="009E6AC0"/>
    <w:rsid w:val="00A0491C"/>
    <w:rsid w:val="00A25E5B"/>
    <w:rsid w:val="00A25F70"/>
    <w:rsid w:val="00A51FD1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BF2716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5</TotalTime>
  <Pages>1</Pages>
  <Words>27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195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Arizona AHCCCS</cp:lastModifiedBy>
  <cp:revision>5</cp:revision>
  <cp:lastPrinted>2011-12-16T17:50:00Z</cp:lastPrinted>
  <dcterms:created xsi:type="dcterms:W3CDTF">2018-01-16T19:27:00Z</dcterms:created>
  <dcterms:modified xsi:type="dcterms:W3CDTF">2019-03-04T18:46:00Z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