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89" w:rsidRDefault="004A2489">
      <w:bookmarkStart w:id="0" w:name="_GoBack"/>
      <w:bookmarkEnd w:id="0"/>
    </w:p>
    <w:p w:rsidR="001C2197" w:rsidRDefault="001C2197">
      <w:pPr>
        <w:rPr>
          <w:b/>
          <w:sz w:val="28"/>
          <w:szCs w:val="28"/>
        </w:rPr>
      </w:pPr>
      <w:r w:rsidRPr="001C2197">
        <w:rPr>
          <w:b/>
          <w:sz w:val="28"/>
          <w:szCs w:val="28"/>
        </w:rPr>
        <w:t>AZ DRGs - updated DRG Calculator</w:t>
      </w:r>
    </w:p>
    <w:p w:rsidR="001C2197" w:rsidRDefault="001C2197" w:rsidP="001C21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use this version going forward.</w:t>
      </w:r>
    </w:p>
    <w:p w:rsidR="001C2197" w:rsidRDefault="001C2197" w:rsidP="001C21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are no substantive changes in this version.  We just added a statement about planned updates to CCR values, beefed up the reference to calculations predicting fee-for-service rates, not rates negotiated with managed care plans, added a Navigant logo, and added a Navigant copyright statement.  We also copied one paragraph from the “Cover” tab to the top of the “Interactive Calculator” tab for ease of review.  </w:t>
      </w:r>
    </w:p>
    <w:p w:rsidR="001C2197" w:rsidRPr="001C2197" w:rsidRDefault="001C2197">
      <w:pPr>
        <w:rPr>
          <w:b/>
          <w:sz w:val="28"/>
          <w:szCs w:val="28"/>
        </w:rPr>
      </w:pPr>
    </w:p>
    <w:sectPr w:rsidR="001C2197" w:rsidRPr="001C2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97"/>
    <w:rsid w:val="001C2197"/>
    <w:rsid w:val="004A2489"/>
    <w:rsid w:val="00A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McGhie, Travis</cp:lastModifiedBy>
  <cp:revision>2</cp:revision>
  <dcterms:created xsi:type="dcterms:W3CDTF">2014-04-22T16:31:00Z</dcterms:created>
  <dcterms:modified xsi:type="dcterms:W3CDTF">2014-04-22T16:31:00Z</dcterms:modified>
</cp:coreProperties>
</file>