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9F" w:rsidRPr="008C659F" w:rsidRDefault="008C659F" w:rsidP="008C659F">
      <w:pPr>
        <w:pStyle w:val="NoSpacing"/>
        <w:jc w:val="center"/>
        <w:rPr>
          <w:rFonts w:ascii="Times New Roman" w:hAnsi="Times New Roman" w:cs="Times New Roman"/>
          <w:sz w:val="32"/>
          <w:szCs w:val="32"/>
        </w:rPr>
      </w:pPr>
      <w:r w:rsidRPr="008C659F">
        <w:rPr>
          <w:rFonts w:ascii="Times New Roman" w:hAnsi="Times New Roman" w:cs="Times New Roman"/>
          <w:sz w:val="32"/>
          <w:szCs w:val="32"/>
        </w:rPr>
        <w:t>DRG Technical Workgroup</w:t>
      </w:r>
    </w:p>
    <w:p w:rsidR="008C659F" w:rsidRPr="008C659F" w:rsidRDefault="00C10157" w:rsidP="008C659F">
      <w:pPr>
        <w:pStyle w:val="NoSpacing"/>
        <w:jc w:val="center"/>
        <w:rPr>
          <w:rFonts w:ascii="Times New Roman" w:hAnsi="Times New Roman" w:cs="Times New Roman"/>
          <w:sz w:val="32"/>
          <w:szCs w:val="32"/>
        </w:rPr>
      </w:pPr>
      <w:r>
        <w:rPr>
          <w:rFonts w:ascii="Times New Roman" w:hAnsi="Times New Roman" w:cs="Times New Roman"/>
          <w:sz w:val="32"/>
          <w:szCs w:val="32"/>
        </w:rPr>
        <w:t>February 27, 2014; 2:00 PM-3:0</w:t>
      </w:r>
      <w:r w:rsidR="008C659F" w:rsidRPr="008C659F">
        <w:rPr>
          <w:rFonts w:ascii="Times New Roman" w:hAnsi="Times New Roman" w:cs="Times New Roman"/>
          <w:sz w:val="32"/>
          <w:szCs w:val="32"/>
        </w:rPr>
        <w:t>0 PM</w:t>
      </w:r>
    </w:p>
    <w:p w:rsidR="00E849A3" w:rsidRDefault="008C659F" w:rsidP="008C659F">
      <w:pPr>
        <w:pStyle w:val="NoSpacing"/>
        <w:jc w:val="center"/>
        <w:rPr>
          <w:rFonts w:ascii="Times New Roman" w:hAnsi="Times New Roman" w:cs="Times New Roman"/>
          <w:sz w:val="32"/>
          <w:szCs w:val="32"/>
        </w:rPr>
      </w:pPr>
      <w:r w:rsidRPr="008C659F">
        <w:rPr>
          <w:rFonts w:ascii="Times New Roman" w:hAnsi="Times New Roman" w:cs="Times New Roman"/>
          <w:sz w:val="32"/>
          <w:szCs w:val="32"/>
        </w:rPr>
        <w:t>A</w:t>
      </w:r>
      <w:r w:rsidR="00D50D97">
        <w:rPr>
          <w:rFonts w:ascii="Times New Roman" w:hAnsi="Times New Roman" w:cs="Times New Roman"/>
          <w:sz w:val="32"/>
          <w:szCs w:val="32"/>
        </w:rPr>
        <w:t xml:space="preserve">HCCCS, 701 E Jefferson, Phoenix - </w:t>
      </w:r>
      <w:r w:rsidRPr="008C659F">
        <w:rPr>
          <w:rFonts w:ascii="Times New Roman" w:hAnsi="Times New Roman" w:cs="Times New Roman"/>
          <w:sz w:val="32"/>
          <w:szCs w:val="32"/>
        </w:rPr>
        <w:t>Gold Salmon Rooms, 3rd Floor</w:t>
      </w:r>
    </w:p>
    <w:p w:rsidR="008C659F" w:rsidRDefault="008C659F" w:rsidP="008C659F">
      <w:pPr>
        <w:pStyle w:val="NoSpacing"/>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203835</wp:posOffset>
                </wp:positionV>
                <wp:extent cx="6724650" cy="47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724650" cy="4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2.25pt;margin-top:16.05pt;width:529.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z/cQIAADgFAAAOAAAAZHJzL2Uyb0RvYy54bWysVMFu2zAMvQ/YPwi6r06CJN2COkWQosOA&#10;oi3aDj0rshQbkESNUuJkXz9KdtyiLXYYloMiieQj+fToi8uDNWyvMDTgSj4+G3GmnISqcduS/3y6&#10;/vKVsxCFq4QBp0p+VIFfLj9/umj9Qk2gBlMpZATiwqL1Ja9j9IuiCLJWVoQz8MqRUQNaEemI26JC&#10;0RK6NcVkNJoXLWDlEaQKgW6vOiNfZnytlYx3WgcVmSk51RbzinndpLVYXojFFoWvG9mXIf6hCisa&#10;R0kHqCsRBdth8w7KNhIhgI5nEmwBWjdS5R6om/HoTTePtfAq90LkBD/QFP4frLzd3yNrKno7zpyw&#10;9EQPRJpwW6PYONHT+rAgr0d/j/0p0Db1etBo0z91wQ6Z0uNAqTpEJulyfj6ZzmfEvCTb9Hw+mSXM&#10;4iXYY4jfFViWNiVHSp6JFPubEDvXkwvFpWK69HkXj0alCox7UJq6oISTHJ31o9YG2V7QywsplYvj&#10;zlSLSnXXsxH9+nqGiFxdBkzIujFmwO4BkjbfY3e19v4pVGX5DcGjvxXWBQ8ROTO4OATbxgF+BGCo&#10;qz5z538iqaMmsbSB6khvjNCJP3h53RDXNyLEe4GkdnodmuB4R4s20JYc+h1nNeDvj+6TP4mQrJy1&#10;ND0lD792AhVn5ocjeX4bT6dp3PJhOjuf0AFfWzavLW5n10DPRBKk6vI2+Udz2moE+0yDvkpZySSc&#10;pNwllxFPh3Xsppo+FVKtVtmNRsyLeOMevUzgidWkpafDs0DfCy6SUm/hNGli8UZ3nW+KdLDaRdBN&#10;FuULrz3fNJ5ZOP2nJM3/63P2evngLf8AAAD//wMAUEsDBBQABgAIAAAAIQA8MLYk3QAAAAkBAAAP&#10;AAAAZHJzL2Rvd25yZXYueG1sTI/BTsMwDIbvSLxDZCRuW9oxSluaTggJIXFBbDxA1pi2kDhVk66F&#10;p8c7wdG/P/3+XO0WZ8UJx9B7UpCuExBIjTc9tQreD0+rHESImoy2nlDBNwbY1ZcXlS6Nn+kNT/vY&#10;Ci6hUGoFXYxDKWVoOnQ6rP2AxLsPPzodeRxbaUY9c7mzcpMkmXS6J77Q6QEfO2y+9pNT4NPX+HKY&#10;txPhPD7n/Wdjf+5ypa6vlod7EBGX+AfDWZ/VoWano5/IBGEVrLLtLaMKbjYpCAaK4hwcOSgykHUl&#10;/39Q/wIAAP//AwBQSwECLQAUAAYACAAAACEAtoM4kv4AAADhAQAAEwAAAAAAAAAAAAAAAAAAAAAA&#10;W0NvbnRlbnRfVHlwZXNdLnhtbFBLAQItABQABgAIAAAAIQA4/SH/1gAAAJQBAAALAAAAAAAAAAAA&#10;AAAAAC8BAABfcmVscy8ucmVsc1BLAQItABQABgAIAAAAIQANlOz/cQIAADgFAAAOAAAAAAAAAAAA&#10;AAAAAC4CAABkcnMvZTJvRG9jLnhtbFBLAQItABQABgAIAAAAIQA8MLYk3QAAAAkBAAAPAAAAAAAA&#10;AAAAAAAAAMsEAABkcnMvZG93bnJldi54bWxQSwUGAAAAAAQABADzAAAA1QUAAAAA&#10;" fillcolor="#4f81bd [3204]" strokecolor="#243f60 [1604]" strokeweight="2pt"/>
            </w:pict>
          </mc:Fallback>
        </mc:AlternateContent>
      </w:r>
    </w:p>
    <w:p w:rsidR="008C659F" w:rsidRDefault="008C659F" w:rsidP="008C659F">
      <w:pPr>
        <w:pStyle w:val="NoSpacing"/>
        <w:jc w:val="center"/>
        <w:rPr>
          <w:rFonts w:ascii="Times New Roman" w:hAnsi="Times New Roman" w:cs="Times New Roman"/>
          <w:sz w:val="32"/>
          <w:szCs w:val="32"/>
        </w:rPr>
      </w:pPr>
    </w:p>
    <w:p w:rsidR="008C659F" w:rsidRDefault="008C659F" w:rsidP="008C659F">
      <w:pPr>
        <w:pStyle w:val="NoSpacing"/>
        <w:rPr>
          <w:rFonts w:ascii="Times New Roman" w:hAnsi="Times New Roman" w:cs="Times New Roman"/>
          <w:sz w:val="24"/>
          <w:szCs w:val="24"/>
        </w:rPr>
      </w:pPr>
    </w:p>
    <w:p w:rsidR="008C659F" w:rsidRPr="00596631" w:rsidRDefault="008C659F" w:rsidP="008C659F">
      <w:pPr>
        <w:pStyle w:val="NoSpacing"/>
        <w:rPr>
          <w:rFonts w:ascii="Times New Roman" w:hAnsi="Times New Roman" w:cs="Times New Roman"/>
          <w:b/>
          <w:sz w:val="28"/>
          <w:szCs w:val="28"/>
          <w:u w:val="single"/>
        </w:rPr>
      </w:pPr>
      <w:r w:rsidRPr="00596631">
        <w:rPr>
          <w:rFonts w:ascii="Times New Roman" w:hAnsi="Times New Roman" w:cs="Times New Roman"/>
          <w:b/>
          <w:sz w:val="28"/>
          <w:szCs w:val="28"/>
          <w:u w:val="single"/>
        </w:rPr>
        <w:t>Attendees</w:t>
      </w:r>
      <w:r w:rsidR="006F10B7" w:rsidRPr="00596631">
        <w:rPr>
          <w:rFonts w:ascii="Times New Roman" w:hAnsi="Times New Roman" w:cs="Times New Roman"/>
          <w:b/>
          <w:sz w:val="28"/>
          <w:szCs w:val="28"/>
          <w:u w:val="single"/>
        </w:rPr>
        <w:t xml:space="preserve"> (Based upon sign-in Sheets)</w:t>
      </w:r>
    </w:p>
    <w:p w:rsidR="008C659F" w:rsidRDefault="008C659F" w:rsidP="008C659F">
      <w:pPr>
        <w:pStyle w:val="NoSpacing"/>
        <w:rPr>
          <w:rFonts w:ascii="Times New Roman" w:hAnsi="Times New Roman" w:cs="Times New Roman"/>
          <w:sz w:val="24"/>
          <w:szCs w:val="24"/>
        </w:rPr>
      </w:pPr>
    </w:p>
    <w:p w:rsidR="00615ADE" w:rsidRPr="00596631" w:rsidRDefault="00005731" w:rsidP="008C659F">
      <w:pPr>
        <w:pStyle w:val="NoSpacing"/>
        <w:rPr>
          <w:rFonts w:ascii="Times New Roman" w:hAnsi="Times New Roman" w:cs="Times New Roman"/>
          <w:b/>
          <w:sz w:val="24"/>
          <w:szCs w:val="24"/>
        </w:rPr>
      </w:pPr>
      <w:r w:rsidRPr="00596631">
        <w:rPr>
          <w:rFonts w:ascii="Times New Roman" w:hAnsi="Times New Roman" w:cs="Times New Roman"/>
          <w:b/>
          <w:sz w:val="24"/>
          <w:szCs w:val="24"/>
        </w:rPr>
        <w:t>ADHS</w:t>
      </w:r>
    </w:p>
    <w:p w:rsidR="00615ADE" w:rsidRPr="00596631" w:rsidRDefault="00005731"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Madonna Fritz</w:t>
      </w:r>
    </w:p>
    <w:p w:rsidR="00005731" w:rsidRPr="00596631" w:rsidRDefault="00005731" w:rsidP="008C659F">
      <w:pPr>
        <w:pStyle w:val="NoSpacing"/>
        <w:rPr>
          <w:rFonts w:ascii="Times New Roman" w:hAnsi="Times New Roman" w:cs="Times New Roman"/>
          <w:sz w:val="24"/>
          <w:szCs w:val="24"/>
        </w:rPr>
      </w:pPr>
    </w:p>
    <w:p w:rsidR="00005731"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AHCCCS</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Robert Heppler, Stacy Westerholm, Dan Liberator, Gurpreet Bhinder</w:t>
      </w:r>
    </w:p>
    <w:p w:rsidR="00615ADE" w:rsidRPr="00596631" w:rsidRDefault="00615ADE" w:rsidP="008C659F">
      <w:pPr>
        <w:pStyle w:val="NoSpacing"/>
        <w:rPr>
          <w:rFonts w:ascii="Times New Roman" w:hAnsi="Times New Roman" w:cs="Times New Roman"/>
          <w:sz w:val="24"/>
          <w:szCs w:val="24"/>
        </w:rPr>
      </w:pPr>
    </w:p>
    <w:p w:rsidR="00005731" w:rsidRPr="00596631" w:rsidRDefault="00615ADE" w:rsidP="008C659F">
      <w:pPr>
        <w:pStyle w:val="NoSpacing"/>
        <w:rPr>
          <w:rFonts w:ascii="Times New Roman" w:hAnsi="Times New Roman" w:cs="Times New Roman"/>
          <w:b/>
          <w:sz w:val="24"/>
          <w:szCs w:val="24"/>
        </w:rPr>
      </w:pPr>
      <w:r w:rsidRPr="00596631">
        <w:rPr>
          <w:rFonts w:ascii="Times New Roman" w:hAnsi="Times New Roman" w:cs="Times New Roman"/>
          <w:b/>
          <w:sz w:val="24"/>
          <w:szCs w:val="24"/>
        </w:rPr>
        <w:t>Care1st</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 xml:space="preserve">David Scheer, </w:t>
      </w:r>
      <w:r w:rsidR="006F10B7" w:rsidRPr="00596631">
        <w:rPr>
          <w:rFonts w:ascii="Times New Roman" w:hAnsi="Times New Roman" w:cs="Times New Roman"/>
          <w:sz w:val="24"/>
          <w:szCs w:val="24"/>
        </w:rPr>
        <w:t xml:space="preserve">Anthony </w:t>
      </w:r>
      <w:r w:rsidR="00596F5D" w:rsidRPr="00596631">
        <w:rPr>
          <w:rFonts w:ascii="Times New Roman" w:hAnsi="Times New Roman" w:cs="Times New Roman"/>
          <w:sz w:val="24"/>
          <w:szCs w:val="24"/>
        </w:rPr>
        <w:t>Crooke, Brent Ratterree</w:t>
      </w:r>
    </w:p>
    <w:p w:rsidR="00615ADE" w:rsidRPr="00596631" w:rsidRDefault="00615ADE" w:rsidP="008C659F">
      <w:pPr>
        <w:pStyle w:val="NoSpacing"/>
        <w:rPr>
          <w:rFonts w:ascii="Times New Roman" w:hAnsi="Times New Roman" w:cs="Times New Roman"/>
          <w:sz w:val="24"/>
          <w:szCs w:val="24"/>
        </w:rPr>
      </w:pPr>
    </w:p>
    <w:p w:rsidR="00005731" w:rsidRPr="00596631" w:rsidRDefault="00005731"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Cerpatico</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Cindy Gaither</w:t>
      </w:r>
    </w:p>
    <w:p w:rsidR="00615ADE" w:rsidRPr="00596631" w:rsidRDefault="00615ADE" w:rsidP="008C659F">
      <w:pPr>
        <w:pStyle w:val="NoSpacing"/>
        <w:rPr>
          <w:rFonts w:ascii="Times New Roman" w:hAnsi="Times New Roman" w:cs="Times New Roman"/>
          <w:sz w:val="24"/>
          <w:szCs w:val="24"/>
        </w:rPr>
      </w:pPr>
    </w:p>
    <w:p w:rsidR="00005731" w:rsidRPr="00596631" w:rsidRDefault="00005731" w:rsidP="008C659F">
      <w:pPr>
        <w:pStyle w:val="NoSpacing"/>
        <w:rPr>
          <w:rFonts w:ascii="Times New Roman" w:hAnsi="Times New Roman" w:cs="Times New Roman"/>
          <w:b/>
          <w:sz w:val="24"/>
          <w:szCs w:val="24"/>
        </w:rPr>
      </w:pPr>
      <w:r w:rsidRPr="00596631">
        <w:rPr>
          <w:rFonts w:ascii="Times New Roman" w:hAnsi="Times New Roman" w:cs="Times New Roman"/>
          <w:b/>
          <w:sz w:val="24"/>
          <w:szCs w:val="24"/>
        </w:rPr>
        <w:t>DBHS</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Ruth Zona</w:t>
      </w:r>
    </w:p>
    <w:p w:rsidR="00615ADE" w:rsidRPr="00596631" w:rsidRDefault="00615ADE" w:rsidP="008C659F">
      <w:pPr>
        <w:pStyle w:val="NoSpacing"/>
        <w:rPr>
          <w:rFonts w:ascii="Times New Roman" w:hAnsi="Times New Roman" w:cs="Times New Roman"/>
          <w:sz w:val="24"/>
          <w:szCs w:val="24"/>
        </w:rPr>
      </w:pPr>
    </w:p>
    <w:p w:rsidR="001B3F74"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DDD</w:t>
      </w:r>
      <w:r w:rsidRPr="00596631">
        <w:rPr>
          <w:rFonts w:ascii="Times New Roman" w:hAnsi="Times New Roman" w:cs="Times New Roman"/>
          <w:sz w:val="24"/>
          <w:szCs w:val="24"/>
        </w:rPr>
        <w:t xml:space="preserve"> </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Laura Reith</w:t>
      </w:r>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DES</w:t>
      </w:r>
      <w:r w:rsidRPr="00596631">
        <w:rPr>
          <w:rFonts w:ascii="Times New Roman" w:hAnsi="Times New Roman" w:cs="Times New Roman"/>
          <w:sz w:val="24"/>
          <w:szCs w:val="24"/>
        </w:rPr>
        <w:t xml:space="preserve"> </w:t>
      </w:r>
    </w:p>
    <w:p w:rsidR="00D03D21"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David Gardner</w:t>
      </w:r>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Health Net</w:t>
      </w:r>
      <w:r w:rsidRPr="00596631">
        <w:rPr>
          <w:rFonts w:ascii="Times New Roman" w:hAnsi="Times New Roman" w:cs="Times New Roman"/>
          <w:sz w:val="24"/>
          <w:szCs w:val="24"/>
        </w:rPr>
        <w:t xml:space="preserve"> </w:t>
      </w:r>
    </w:p>
    <w:p w:rsidR="00D03D21"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Trista Loops</w:t>
      </w:r>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HCA</w:t>
      </w:r>
    </w:p>
    <w:p w:rsidR="00D03D21" w:rsidRPr="00596631" w:rsidRDefault="00596F5D"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Kristine Va</w:t>
      </w:r>
      <w:r w:rsidR="00D03D21" w:rsidRPr="00596631">
        <w:rPr>
          <w:rFonts w:ascii="Times New Roman" w:hAnsi="Times New Roman" w:cs="Times New Roman"/>
          <w:sz w:val="24"/>
          <w:szCs w:val="24"/>
        </w:rPr>
        <w:t>n Hook, Sarah Sautler, Mia Villa, Afa Lupeh</w:t>
      </w:r>
    </w:p>
    <w:p w:rsidR="00D03D21" w:rsidRPr="00596631" w:rsidRDefault="00D03D21" w:rsidP="00D03D21">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Mercy/Mercy Maricopa</w:t>
      </w:r>
    </w:p>
    <w:p w:rsidR="00D03D21"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Julie Dyer</w:t>
      </w:r>
    </w:p>
    <w:p w:rsidR="00D03D21" w:rsidRPr="00596631" w:rsidRDefault="00D03D21" w:rsidP="00D03D21">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PHP</w:t>
      </w:r>
    </w:p>
    <w:p w:rsidR="00D03D21"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Liz Liska, Sharon Hunt</w:t>
      </w:r>
      <w:r w:rsidR="00596F5D" w:rsidRPr="00596631">
        <w:rPr>
          <w:rFonts w:ascii="Times New Roman" w:hAnsi="Times New Roman" w:cs="Times New Roman"/>
          <w:sz w:val="24"/>
          <w:szCs w:val="24"/>
        </w:rPr>
        <w:t>, Vincent Mene</w:t>
      </w:r>
      <w:r w:rsidRPr="00596631">
        <w:rPr>
          <w:rFonts w:ascii="Times New Roman" w:hAnsi="Times New Roman" w:cs="Times New Roman"/>
          <w:sz w:val="24"/>
          <w:szCs w:val="24"/>
        </w:rPr>
        <w:t>z</w:t>
      </w:r>
      <w:r w:rsidR="00596F5D" w:rsidRPr="00596631">
        <w:rPr>
          <w:rFonts w:ascii="Times New Roman" w:hAnsi="Times New Roman" w:cs="Times New Roman"/>
          <w:sz w:val="24"/>
          <w:szCs w:val="24"/>
        </w:rPr>
        <w:t>e</w:t>
      </w:r>
    </w:p>
    <w:p w:rsidR="00D03D21" w:rsidRPr="00596631" w:rsidRDefault="00D03D21" w:rsidP="00D03D21">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UAHP</w:t>
      </w:r>
      <w:r w:rsidRPr="00596631">
        <w:rPr>
          <w:rFonts w:ascii="Times New Roman" w:hAnsi="Times New Roman" w:cs="Times New Roman"/>
          <w:sz w:val="24"/>
          <w:szCs w:val="24"/>
        </w:rPr>
        <w:t xml:space="preserve"> </w:t>
      </w:r>
    </w:p>
    <w:p w:rsidR="00D03D21"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Kris Kreutz, Kim Bolton, Dennis Thompson</w:t>
      </w:r>
      <w:r w:rsidR="00596F5D" w:rsidRPr="00596631">
        <w:rPr>
          <w:rFonts w:ascii="Times New Roman" w:hAnsi="Times New Roman" w:cs="Times New Roman"/>
          <w:sz w:val="24"/>
          <w:szCs w:val="24"/>
        </w:rPr>
        <w:t>, Maria Sanchez, Dan Parker</w:t>
      </w:r>
    </w:p>
    <w:p w:rsidR="00615ADE" w:rsidRPr="00596631" w:rsidRDefault="00615ADE" w:rsidP="008C659F">
      <w:pPr>
        <w:pStyle w:val="NoSpacing"/>
        <w:rPr>
          <w:rFonts w:ascii="Times New Roman" w:hAnsi="Times New Roman" w:cs="Times New Roman"/>
          <w:sz w:val="24"/>
          <w:szCs w:val="24"/>
        </w:rPr>
      </w:pPr>
    </w:p>
    <w:p w:rsidR="001B3F74"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UHCCP</w:t>
      </w:r>
    </w:p>
    <w:p w:rsidR="006F10B7" w:rsidRPr="00596631" w:rsidRDefault="00615ADE" w:rsidP="006F10B7">
      <w:pPr>
        <w:pStyle w:val="NoSpacing"/>
        <w:rPr>
          <w:rFonts w:ascii="Times New Roman" w:hAnsi="Times New Roman" w:cs="Times New Roman"/>
          <w:sz w:val="24"/>
          <w:szCs w:val="24"/>
        </w:rPr>
      </w:pPr>
      <w:r w:rsidRPr="00596631">
        <w:rPr>
          <w:rFonts w:ascii="Times New Roman" w:hAnsi="Times New Roman" w:cs="Times New Roman"/>
          <w:sz w:val="24"/>
          <w:szCs w:val="24"/>
        </w:rPr>
        <w:t>Michele Maclachlan</w:t>
      </w:r>
      <w:r w:rsidR="00DB2777" w:rsidRPr="00596631">
        <w:rPr>
          <w:rFonts w:ascii="Times New Roman" w:hAnsi="Times New Roman" w:cs="Times New Roman"/>
          <w:sz w:val="24"/>
          <w:szCs w:val="24"/>
        </w:rPr>
        <w:t xml:space="preserve">, </w:t>
      </w:r>
      <w:r w:rsidR="00596F5D" w:rsidRPr="00596631">
        <w:rPr>
          <w:rFonts w:ascii="Times New Roman" w:hAnsi="Times New Roman" w:cs="Times New Roman"/>
          <w:sz w:val="24"/>
          <w:szCs w:val="24"/>
        </w:rPr>
        <w:t>Deb Ali</w:t>
      </w:r>
      <w:r w:rsidR="00DB2777" w:rsidRPr="00596631">
        <w:rPr>
          <w:rFonts w:ascii="Times New Roman" w:hAnsi="Times New Roman" w:cs="Times New Roman"/>
          <w:sz w:val="24"/>
          <w:szCs w:val="24"/>
        </w:rPr>
        <w:t>x, Helen Bronski, Jeff Greenspan</w:t>
      </w:r>
      <w:r w:rsidR="006F10B7" w:rsidRPr="00596631">
        <w:rPr>
          <w:rFonts w:ascii="Times New Roman" w:hAnsi="Times New Roman" w:cs="Times New Roman"/>
          <w:sz w:val="24"/>
          <w:szCs w:val="24"/>
        </w:rPr>
        <w:t>, Denise Hardesty</w:t>
      </w:r>
    </w:p>
    <w:p w:rsidR="00615ADE" w:rsidRDefault="00615ADE" w:rsidP="008C659F">
      <w:pPr>
        <w:pStyle w:val="NoSpacing"/>
        <w:rPr>
          <w:rFonts w:ascii="Times New Roman" w:hAnsi="Times New Roman" w:cs="Times New Roman"/>
          <w:sz w:val="24"/>
          <w:szCs w:val="24"/>
        </w:rPr>
      </w:pPr>
    </w:p>
    <w:p w:rsidR="00596631" w:rsidRDefault="00596631" w:rsidP="0058322A">
      <w:pPr>
        <w:pStyle w:val="Formal1"/>
        <w:rPr>
          <w:b/>
          <w:szCs w:val="24"/>
          <w:u w:val="single"/>
        </w:rPr>
      </w:pPr>
    </w:p>
    <w:p w:rsidR="00596631" w:rsidRDefault="00596631" w:rsidP="0058322A">
      <w:pPr>
        <w:pStyle w:val="Formal1"/>
        <w:rPr>
          <w:b/>
          <w:szCs w:val="24"/>
          <w:u w:val="single"/>
        </w:rPr>
      </w:pPr>
    </w:p>
    <w:p w:rsidR="006E65E4" w:rsidRPr="00596631" w:rsidRDefault="00596631" w:rsidP="0058322A">
      <w:pPr>
        <w:pStyle w:val="Formal1"/>
        <w:rPr>
          <w:b/>
          <w:szCs w:val="24"/>
          <w:u w:val="single"/>
        </w:rPr>
      </w:pPr>
      <w:r w:rsidRPr="00596631">
        <w:rPr>
          <w:b/>
          <w:szCs w:val="24"/>
          <w:u w:val="single"/>
        </w:rPr>
        <w:lastRenderedPageBreak/>
        <w:t>Attended via Phone/</w:t>
      </w:r>
      <w:proofErr w:type="spellStart"/>
      <w:r w:rsidRPr="00596631">
        <w:rPr>
          <w:b/>
          <w:szCs w:val="24"/>
          <w:u w:val="single"/>
        </w:rPr>
        <w:t>GoTo</w:t>
      </w:r>
      <w:proofErr w:type="spellEnd"/>
    </w:p>
    <w:p w:rsidR="00596631" w:rsidRPr="00596631" w:rsidRDefault="00596631" w:rsidP="00596631">
      <w:pPr>
        <w:rPr>
          <w:rFonts w:ascii="Times New Roman" w:hAnsi="Times New Roman"/>
          <w:sz w:val="24"/>
          <w:szCs w:val="24"/>
        </w:rPr>
      </w:pPr>
      <w:r w:rsidRPr="00596631">
        <w:rPr>
          <w:rFonts w:ascii="Times New Roman" w:hAnsi="Times New Roman"/>
          <w:sz w:val="24"/>
          <w:szCs w:val="24"/>
        </w:rPr>
        <w:t>Mohan Basavapatua</w:t>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Carol Boyd</w:t>
      </w:r>
    </w:p>
    <w:p w:rsidR="00596631" w:rsidRPr="00596631" w:rsidRDefault="00596631" w:rsidP="00596631">
      <w:pPr>
        <w:rPr>
          <w:rFonts w:ascii="Times New Roman" w:hAnsi="Times New Roman"/>
          <w:sz w:val="24"/>
          <w:szCs w:val="24"/>
        </w:rPr>
      </w:pPr>
      <w:r w:rsidRPr="00596631">
        <w:rPr>
          <w:rFonts w:ascii="Times New Roman" w:hAnsi="Times New Roman"/>
          <w:sz w:val="24"/>
          <w:szCs w:val="24"/>
        </w:rPr>
        <w:t>David Segner</w:t>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Stephanie Costal</w:t>
      </w:r>
    </w:p>
    <w:p w:rsidR="00596631" w:rsidRPr="00596631" w:rsidRDefault="00596631" w:rsidP="00596631">
      <w:pPr>
        <w:rPr>
          <w:rFonts w:ascii="Times New Roman" w:hAnsi="Times New Roman"/>
          <w:sz w:val="24"/>
          <w:szCs w:val="24"/>
        </w:rPr>
      </w:pPr>
      <w:r w:rsidRPr="00596631">
        <w:rPr>
          <w:rFonts w:ascii="Times New Roman" w:hAnsi="Times New Roman"/>
          <w:sz w:val="24"/>
          <w:szCs w:val="24"/>
        </w:rPr>
        <w:t>David Weis</w:t>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Mary Kaeler</w:t>
      </w:r>
    </w:p>
    <w:p w:rsidR="00596631" w:rsidRPr="00596631" w:rsidRDefault="00596631" w:rsidP="00596631">
      <w:pPr>
        <w:rPr>
          <w:rFonts w:ascii="Times New Roman" w:hAnsi="Times New Roman"/>
          <w:sz w:val="24"/>
          <w:szCs w:val="24"/>
        </w:rPr>
      </w:pPr>
      <w:r w:rsidRPr="00596631">
        <w:rPr>
          <w:rFonts w:ascii="Times New Roman" w:hAnsi="Times New Roman"/>
          <w:sz w:val="24"/>
          <w:szCs w:val="24"/>
        </w:rPr>
        <w:t xml:space="preserve">Kristen </w:t>
      </w:r>
      <w:r w:rsidRPr="00596631">
        <w:rPr>
          <w:rFonts w:ascii="Times New Roman" w:hAnsi="Times New Roman"/>
          <w:sz w:val="24"/>
          <w:szCs w:val="24"/>
        </w:rPr>
        <w:tab/>
      </w:r>
      <w:r w:rsidRPr="00596631">
        <w:rPr>
          <w:rFonts w:ascii="Times New Roman" w:hAnsi="Times New Roman"/>
          <w:sz w:val="24"/>
          <w:szCs w:val="24"/>
        </w:rPr>
        <w:tab/>
      </w:r>
      <w:r w:rsidRPr="00596631">
        <w:rPr>
          <w:rFonts w:ascii="Times New Roman" w:hAnsi="Times New Roman"/>
          <w:sz w:val="24"/>
          <w:szCs w:val="24"/>
        </w:rPr>
        <w:tab/>
        <w:t>Lina R</w:t>
      </w:r>
      <w:r w:rsidRPr="00596631">
        <w:rPr>
          <w:rFonts w:ascii="Times New Roman" w:hAnsi="Times New Roman"/>
          <w:sz w:val="24"/>
          <w:szCs w:val="24"/>
        </w:rPr>
        <w:t>ios</w:t>
      </w:r>
    </w:p>
    <w:p w:rsidR="00596631" w:rsidRPr="00596631" w:rsidRDefault="00596631" w:rsidP="00596631">
      <w:pPr>
        <w:rPr>
          <w:rFonts w:ascii="Times New Roman" w:hAnsi="Times New Roman"/>
          <w:sz w:val="24"/>
          <w:szCs w:val="24"/>
        </w:rPr>
      </w:pPr>
      <w:r w:rsidRPr="00596631">
        <w:rPr>
          <w:rFonts w:ascii="Times New Roman" w:hAnsi="Times New Roman"/>
          <w:sz w:val="24"/>
          <w:szCs w:val="24"/>
        </w:rPr>
        <w:t>Meriata Avilor</w:t>
      </w:r>
    </w:p>
    <w:p w:rsidR="00596631" w:rsidRDefault="00596631" w:rsidP="0058322A">
      <w:pPr>
        <w:pStyle w:val="Formal1"/>
        <w:rPr>
          <w:b/>
          <w:u w:val="single"/>
        </w:rPr>
      </w:pPr>
    </w:p>
    <w:p w:rsidR="00596631" w:rsidRDefault="00596631" w:rsidP="0058322A">
      <w:pPr>
        <w:pStyle w:val="Formal1"/>
        <w:rPr>
          <w:b/>
          <w:u w:val="single"/>
        </w:rPr>
      </w:pPr>
    </w:p>
    <w:p w:rsidR="0058322A" w:rsidRPr="00B91AFE" w:rsidRDefault="00B91AFE" w:rsidP="0058322A">
      <w:pPr>
        <w:pStyle w:val="Formal1"/>
        <w:rPr>
          <w:b/>
          <w:u w:val="single"/>
        </w:rPr>
      </w:pPr>
      <w:r w:rsidRPr="00B91AFE">
        <w:rPr>
          <w:b/>
          <w:u w:val="single"/>
        </w:rPr>
        <w:t>Welcome</w:t>
      </w:r>
    </w:p>
    <w:p w:rsidR="00D50D97" w:rsidRDefault="00B91AFE" w:rsidP="00264E81">
      <w:pPr>
        <w:pStyle w:val="Formal1"/>
        <w:jc w:val="both"/>
      </w:pPr>
      <w:r w:rsidRPr="00B91AFE">
        <w:t>Lori welcomed everyone</w:t>
      </w:r>
      <w:r w:rsidR="00D50D97">
        <w:t xml:space="preserve"> including</w:t>
      </w:r>
      <w:r>
        <w:t xml:space="preserve"> Consultant Ben Mori from Navigant </w:t>
      </w:r>
      <w:r w:rsidR="00D50D97">
        <w:t xml:space="preserve">who </w:t>
      </w:r>
      <w:r>
        <w:t xml:space="preserve">is here to walk through the DRG Calculator with the group. </w:t>
      </w:r>
    </w:p>
    <w:p w:rsidR="00950570" w:rsidRDefault="00D50D97" w:rsidP="00264E81">
      <w:pPr>
        <w:pStyle w:val="Formal1"/>
        <w:jc w:val="both"/>
      </w:pPr>
      <w:r>
        <w:t>Lori mentioned t</w:t>
      </w:r>
      <w:r w:rsidR="00B91AFE">
        <w:t>here are three important tools that you will r</w:t>
      </w:r>
      <w:r w:rsidR="00C71AAA">
        <w:t xml:space="preserve">eceive from AHCCCS: the </w:t>
      </w:r>
      <w:r w:rsidR="006F10B7">
        <w:t>P</w:t>
      </w:r>
      <w:r w:rsidR="00C71AAA">
        <w:t>olicy</w:t>
      </w:r>
      <w:r w:rsidR="00B91AFE">
        <w:t xml:space="preserve"> </w:t>
      </w:r>
      <w:r w:rsidR="006F10B7">
        <w:t>D</w:t>
      </w:r>
      <w:r w:rsidR="00B91AFE">
        <w:t xml:space="preserve">ocument, the </w:t>
      </w:r>
      <w:r w:rsidR="006F10B7">
        <w:t>R</w:t>
      </w:r>
      <w:r w:rsidR="00B91AFE">
        <w:t>ule</w:t>
      </w:r>
      <w:r w:rsidR="00C71AAA">
        <w:t xml:space="preserve"> which is being published tomorrow, and the DRG </w:t>
      </w:r>
      <w:r w:rsidR="006F10B7">
        <w:t>C</w:t>
      </w:r>
      <w:r w:rsidR="00C71AAA">
        <w:t xml:space="preserve">alculator. </w:t>
      </w:r>
      <w:r w:rsidR="00264E81">
        <w:t>She reminded everyone that they should have s</w:t>
      </w:r>
      <w:r>
        <w:t>een 2 different versions of the DRG calculator and that a third</w:t>
      </w:r>
      <w:r w:rsidR="00264E81">
        <w:t xml:space="preserve"> version would be coming based upon some policy clarifications and finalizations</w:t>
      </w:r>
      <w:r w:rsidR="006F10B7">
        <w:t>, and to always use the most current version</w:t>
      </w:r>
      <w:r w:rsidR="00264E81">
        <w:t xml:space="preserve">. As soon as Navigant has had a chance to put this together, </w:t>
      </w:r>
      <w:r w:rsidR="006F10B7">
        <w:t>we</w:t>
      </w:r>
      <w:r w:rsidR="00950570">
        <w:t xml:space="preserve"> will get it posted</w:t>
      </w:r>
      <w:r w:rsidR="00264E81">
        <w:t>.</w:t>
      </w:r>
      <w:r w:rsidR="00771409">
        <w:t xml:space="preserve"> </w:t>
      </w:r>
      <w:r w:rsidR="006F10B7">
        <w:t xml:space="preserve">We are also </w:t>
      </w:r>
      <w:r w:rsidR="00771409">
        <w:t xml:space="preserve">going back to the </w:t>
      </w:r>
      <w:r w:rsidR="006F10B7">
        <w:t>P</w:t>
      </w:r>
      <w:r w:rsidR="00771409">
        <w:t xml:space="preserve">olicy </w:t>
      </w:r>
      <w:r w:rsidR="006F10B7">
        <w:t>D</w:t>
      </w:r>
      <w:r w:rsidR="00771409">
        <w:t xml:space="preserve">ocument to make sure all the changes in the </w:t>
      </w:r>
      <w:r w:rsidR="006F10B7">
        <w:t>R</w:t>
      </w:r>
      <w:r w:rsidR="00771409">
        <w:t>ule reflect in the polic</w:t>
      </w:r>
      <w:r w:rsidR="006F10B7">
        <w:t>ies</w:t>
      </w:r>
      <w:r w:rsidR="00771409">
        <w:t>.</w:t>
      </w:r>
      <w:r w:rsidR="00137F81">
        <w:t xml:space="preserve"> When Lori sends out the </w:t>
      </w:r>
      <w:r w:rsidR="006F10B7">
        <w:t>R</w:t>
      </w:r>
      <w:r w:rsidR="00137F81">
        <w:t>ule tomorrow, it is t</w:t>
      </w:r>
      <w:r w:rsidR="00950570">
        <w:t xml:space="preserve">he latest and </w:t>
      </w:r>
      <w:r w:rsidR="006F10B7">
        <w:t xml:space="preserve">most </w:t>
      </w:r>
      <w:r w:rsidR="00950570">
        <w:t>finalized versi</w:t>
      </w:r>
      <w:r>
        <w:t>on</w:t>
      </w:r>
      <w:r w:rsidR="006F10B7">
        <w:t xml:space="preserve"> of the information related to the DRG project</w:t>
      </w:r>
      <w:r>
        <w:t>. Just remember</w:t>
      </w:r>
      <w:r w:rsidR="00950570">
        <w:t xml:space="preserve"> </w:t>
      </w:r>
      <w:r>
        <w:t xml:space="preserve">the </w:t>
      </w:r>
      <w:r w:rsidR="00950570">
        <w:t xml:space="preserve">rule will take precedence over the </w:t>
      </w:r>
      <w:r w:rsidR="006F10B7">
        <w:t>P</w:t>
      </w:r>
      <w:r w:rsidR="00950570">
        <w:t xml:space="preserve">olicy </w:t>
      </w:r>
      <w:r w:rsidR="006F10B7">
        <w:t>D</w:t>
      </w:r>
      <w:r w:rsidR="00950570">
        <w:t>ocument</w:t>
      </w:r>
      <w:r w:rsidR="006F10B7">
        <w:t xml:space="preserve"> pending its final review and update</w:t>
      </w:r>
      <w:r w:rsidR="00950570">
        <w:t xml:space="preserve">. Lori will get out the final </w:t>
      </w:r>
      <w:r w:rsidR="006F10B7">
        <w:t>P</w:t>
      </w:r>
      <w:r w:rsidR="00950570">
        <w:t xml:space="preserve">olicy </w:t>
      </w:r>
      <w:r w:rsidR="006F10B7">
        <w:t>D</w:t>
      </w:r>
      <w:r w:rsidR="00950570">
        <w:t>ocument</w:t>
      </w:r>
      <w:r>
        <w:t xml:space="preserve"> out</w:t>
      </w:r>
      <w:r w:rsidR="00950570">
        <w:t xml:space="preserve"> as soon as possible. </w:t>
      </w:r>
    </w:p>
    <w:p w:rsidR="00B05208" w:rsidRDefault="00950570" w:rsidP="00264E81">
      <w:pPr>
        <w:pStyle w:val="Formal1"/>
        <w:jc w:val="both"/>
      </w:pPr>
      <w:r>
        <w:t>Two big policy updates this week included the definition of the border out of state hospitals which Lori will send</w:t>
      </w:r>
      <w:r w:rsidR="00D50D97">
        <w:t xml:space="preserve"> out more</w:t>
      </w:r>
      <w:r>
        <w:t xml:space="preserve"> detail about.  </w:t>
      </w:r>
      <w:r w:rsidR="006F10B7">
        <w:t>And t</w:t>
      </w:r>
      <w:r w:rsidR="00543FC4">
        <w:t xml:space="preserve">he second updated had to do with the four places of </w:t>
      </w:r>
      <w:r w:rsidR="0023474B">
        <w:t>pro-rat</w:t>
      </w:r>
      <w:r w:rsidR="006F10B7">
        <w:t>ion, t</w:t>
      </w:r>
      <w:r w:rsidR="005F51ED">
        <w:t xml:space="preserve">wo were using actual length of stay and two were using average. She said </w:t>
      </w:r>
      <w:r w:rsidR="006F10B7">
        <w:t xml:space="preserve">all will now </w:t>
      </w:r>
      <w:r w:rsidR="005F51ED">
        <w:t>be using average</w:t>
      </w:r>
      <w:r w:rsidR="006F10B7">
        <w:t xml:space="preserve"> length of stay</w:t>
      </w:r>
      <w:r w:rsidR="005F51ED">
        <w:t>.</w:t>
      </w:r>
      <w:r w:rsidR="00D77BA2">
        <w:t xml:space="preserve"> </w:t>
      </w:r>
    </w:p>
    <w:p w:rsidR="00B05208" w:rsidRDefault="00B05208" w:rsidP="00264E81">
      <w:pPr>
        <w:pStyle w:val="Formal1"/>
        <w:jc w:val="both"/>
      </w:pPr>
    </w:p>
    <w:p w:rsidR="00C25297" w:rsidRPr="00B91AFE" w:rsidRDefault="00C25297" w:rsidP="00264E81">
      <w:pPr>
        <w:pStyle w:val="Formal1"/>
        <w:jc w:val="both"/>
      </w:pPr>
      <w:r>
        <w:t xml:space="preserve">If anyone </w:t>
      </w:r>
      <w:r w:rsidR="006F10B7">
        <w:t>has questions</w:t>
      </w:r>
      <w:r>
        <w:t xml:space="preserve">, please submit to Lori. </w:t>
      </w:r>
    </w:p>
    <w:p w:rsidR="00B91AFE" w:rsidRPr="00B91AFE" w:rsidRDefault="00B91AFE" w:rsidP="0058322A">
      <w:pPr>
        <w:pStyle w:val="Formal1"/>
        <w:rPr>
          <w:u w:val="single"/>
        </w:rPr>
      </w:pPr>
    </w:p>
    <w:p w:rsidR="0058322A" w:rsidRDefault="0058322A" w:rsidP="0058322A">
      <w:pPr>
        <w:pStyle w:val="Formal1"/>
        <w:rPr>
          <w:b/>
          <w:u w:val="single"/>
        </w:rPr>
      </w:pPr>
      <w:r w:rsidRPr="0058322A">
        <w:rPr>
          <w:b/>
          <w:u w:val="single"/>
        </w:rPr>
        <w:t>DRG Calculator</w:t>
      </w:r>
      <w:r w:rsidR="005C3CC6">
        <w:rPr>
          <w:b/>
          <w:u w:val="single"/>
        </w:rPr>
        <w:t xml:space="preserve"> – Walkthrough </w:t>
      </w:r>
    </w:p>
    <w:p w:rsidR="005C3CC6" w:rsidRPr="00B91AFE" w:rsidRDefault="00B91AFE" w:rsidP="009F1F06">
      <w:pPr>
        <w:pStyle w:val="Formal1"/>
        <w:jc w:val="both"/>
      </w:pPr>
      <w:r>
        <w:t xml:space="preserve">Ben from Navigant </w:t>
      </w:r>
      <w:r w:rsidR="00C25297">
        <w:t xml:space="preserve">reviewed the DRG calculator </w:t>
      </w:r>
      <w:bookmarkStart w:id="0" w:name="_GoBack"/>
      <w:bookmarkEnd w:id="0"/>
      <w:r w:rsidR="00C25297">
        <w:t>with the group. The purpose of this calculator is for an individual inpatient claim to show the fee for service allowed amount for that inpatient claim and the net Medicaid liability amount.</w:t>
      </w:r>
      <w:r w:rsidR="00140292">
        <w:t xml:space="preserve"> This Excel worksheet is a free standing worksheet where you can enter any data for any hospital in the system</w:t>
      </w:r>
      <w:r w:rsidR="00E11DA1">
        <w:t xml:space="preserve"> and it will compute that amount for the provider.</w:t>
      </w:r>
      <w:r w:rsidR="00F018F9">
        <w:t xml:space="preserve"> It includes the DRG rates and provider rates. </w:t>
      </w:r>
    </w:p>
    <w:p w:rsidR="0058322A" w:rsidRDefault="008B4058" w:rsidP="009F1F06">
      <w:pPr>
        <w:pStyle w:val="Formal1"/>
        <w:jc w:val="both"/>
      </w:pPr>
      <w:r>
        <w:t>As he reviewed the cover page</w:t>
      </w:r>
      <w:r w:rsidR="00AF29F8">
        <w:t xml:space="preserve">, it is important to note that </w:t>
      </w:r>
      <w:r w:rsidR="00D74077">
        <w:t xml:space="preserve">this is an </w:t>
      </w:r>
      <w:r w:rsidR="00AF29F8">
        <w:t>A</w:t>
      </w:r>
      <w:r w:rsidR="00AF29F8" w:rsidRPr="006E65E4">
        <w:t>P</w:t>
      </w:r>
      <w:r w:rsidR="00EE2326" w:rsidRPr="006E65E4">
        <w:t>R</w:t>
      </w:r>
      <w:r w:rsidR="00AF29F8">
        <w:t xml:space="preserve">-DRG based </w:t>
      </w:r>
      <w:r w:rsidR="00271BA5">
        <w:t xml:space="preserve">system </w:t>
      </w:r>
      <w:r w:rsidR="00240CE7">
        <w:t>using</w:t>
      </w:r>
      <w:r w:rsidR="000E5836">
        <w:t xml:space="preserve"> the 3</w:t>
      </w:r>
      <w:r w:rsidR="00240CE7">
        <w:t>M proprietary product</w:t>
      </w:r>
      <w:r w:rsidR="00271BA5">
        <w:t>; the</w:t>
      </w:r>
      <w:r w:rsidR="00EB1B96">
        <w:t xml:space="preserve"> DRG assignment is an input to this pricing worksheet. </w:t>
      </w:r>
      <w:r w:rsidR="000E5836">
        <w:t>Although the calculator will tell you the allowed amount for a DRG, y</w:t>
      </w:r>
      <w:r w:rsidR="00EB1B96">
        <w:t xml:space="preserve">ou would have to take a claim </w:t>
      </w:r>
      <w:r w:rsidR="000E5836">
        <w:t>and us</w:t>
      </w:r>
      <w:r w:rsidR="00EB1B96">
        <w:t xml:space="preserve">e the 3M grouping software </w:t>
      </w:r>
      <w:r w:rsidR="00D74077">
        <w:t>to</w:t>
      </w:r>
      <w:r w:rsidR="00EB1B96">
        <w:t xml:space="preserve"> assign a DRG</w:t>
      </w:r>
      <w:r w:rsidR="00271BA5">
        <w:t xml:space="preserve"> </w:t>
      </w:r>
      <w:r w:rsidR="008A2923">
        <w:t>to the claim first</w:t>
      </w:r>
      <w:r w:rsidR="00271BA5">
        <w:t xml:space="preserve"> then input</w:t>
      </w:r>
      <w:r w:rsidR="008A2923">
        <w:t xml:space="preserve"> </w:t>
      </w:r>
      <w:r w:rsidR="00D74077">
        <w:t>that into</w:t>
      </w:r>
      <w:r w:rsidR="00271BA5">
        <w:t xml:space="preserve"> </w:t>
      </w:r>
      <w:r w:rsidR="00D74077">
        <w:t>the calculator</w:t>
      </w:r>
      <w:r w:rsidR="008A2923">
        <w:t>.</w:t>
      </w:r>
    </w:p>
    <w:p w:rsidR="00D74077" w:rsidRDefault="00D74077" w:rsidP="009F1F06">
      <w:pPr>
        <w:pStyle w:val="Formal1"/>
        <w:jc w:val="both"/>
      </w:pPr>
    </w:p>
    <w:p w:rsidR="002F0B29" w:rsidRDefault="002F0B29" w:rsidP="009F1F06">
      <w:pPr>
        <w:pStyle w:val="NoSpacing"/>
        <w:jc w:val="both"/>
        <w:rPr>
          <w:rFonts w:ascii="Times New Roman" w:hAnsi="Times New Roman" w:cs="Times New Roman"/>
          <w:sz w:val="24"/>
          <w:szCs w:val="24"/>
        </w:rPr>
      </w:pPr>
      <w:r w:rsidRPr="002F0B29">
        <w:rPr>
          <w:rFonts w:ascii="Times New Roman" w:hAnsi="Times New Roman" w:cs="Times New Roman"/>
          <w:b/>
          <w:i/>
          <w:sz w:val="24"/>
          <w:szCs w:val="24"/>
        </w:rPr>
        <w:t>ACTION ITEM:</w:t>
      </w:r>
      <w:r>
        <w:rPr>
          <w:i/>
        </w:rPr>
        <w:t xml:space="preserve"> </w:t>
      </w:r>
      <w:r>
        <w:rPr>
          <w:rFonts w:ascii="Times New Roman" w:hAnsi="Times New Roman" w:cs="Times New Roman"/>
          <w:sz w:val="24"/>
          <w:szCs w:val="24"/>
        </w:rPr>
        <w:t>Provider Table (row 71)   -</w:t>
      </w:r>
      <w:r w:rsidR="00D74077">
        <w:rPr>
          <w:rFonts w:ascii="Times New Roman" w:hAnsi="Times New Roman" w:cs="Times New Roman"/>
          <w:sz w:val="24"/>
          <w:szCs w:val="24"/>
        </w:rPr>
        <w:t xml:space="preserve"> Ben will clarify provider type.</w:t>
      </w:r>
    </w:p>
    <w:p w:rsidR="002F0B29" w:rsidRDefault="002F0B29" w:rsidP="009F1F06">
      <w:pPr>
        <w:pStyle w:val="Formal1"/>
        <w:jc w:val="both"/>
      </w:pPr>
    </w:p>
    <w:p w:rsidR="0058322A" w:rsidRDefault="001068FF" w:rsidP="009F1F06">
      <w:pPr>
        <w:pStyle w:val="Formal1"/>
        <w:jc w:val="both"/>
        <w:rPr>
          <w:i/>
        </w:rPr>
      </w:pPr>
      <w:r>
        <w:rPr>
          <w:i/>
        </w:rPr>
        <w:t>Q: Someone asked about entering the provider table information.</w:t>
      </w:r>
    </w:p>
    <w:p w:rsidR="002F0B29" w:rsidRDefault="001068FF" w:rsidP="009F1F06">
      <w:pPr>
        <w:pStyle w:val="Formal1"/>
        <w:jc w:val="both"/>
        <w:rPr>
          <w:i/>
        </w:rPr>
      </w:pPr>
      <w:r>
        <w:rPr>
          <w:i/>
        </w:rPr>
        <w:t xml:space="preserve">A: Lori responded anything that is hospital specific comes off of what is essentially the PR050. Ben mentioned that in the comments when it refers to the provider table, it really means we are referring to the worksheets in the Excel file. </w:t>
      </w:r>
    </w:p>
    <w:p w:rsidR="006F10B7" w:rsidRDefault="006F10B7" w:rsidP="009F1F06">
      <w:pPr>
        <w:pStyle w:val="Formal1"/>
        <w:jc w:val="both"/>
        <w:rPr>
          <w:i/>
        </w:rPr>
      </w:pPr>
    </w:p>
    <w:p w:rsidR="001068FF" w:rsidRDefault="002F0B29" w:rsidP="009F1F06">
      <w:pPr>
        <w:pStyle w:val="Formal1"/>
        <w:jc w:val="both"/>
        <w:rPr>
          <w:i/>
        </w:rPr>
      </w:pPr>
      <w:r w:rsidRPr="002F0B29">
        <w:rPr>
          <w:b/>
          <w:i/>
        </w:rPr>
        <w:lastRenderedPageBreak/>
        <w:t>ACTION ITEM:</w:t>
      </w:r>
      <w:r>
        <w:rPr>
          <w:i/>
        </w:rPr>
        <w:t xml:space="preserve"> </w:t>
      </w:r>
      <w:r w:rsidR="001068FF">
        <w:rPr>
          <w:i/>
        </w:rPr>
        <w:t>Lori is wor</w:t>
      </w:r>
      <w:r w:rsidR="009C4B75">
        <w:rPr>
          <w:i/>
        </w:rPr>
        <w:t>king on getting a list of those</w:t>
      </w:r>
      <w:r w:rsidR="00596E8E">
        <w:rPr>
          <w:i/>
        </w:rPr>
        <w:t xml:space="preserve"> togeth</w:t>
      </w:r>
      <w:r w:rsidR="006E65E4">
        <w:rPr>
          <w:i/>
        </w:rPr>
        <w:t>er.</w:t>
      </w:r>
    </w:p>
    <w:p w:rsidR="009F4299" w:rsidRDefault="009F4299" w:rsidP="009F1F06">
      <w:pPr>
        <w:pStyle w:val="Formal1"/>
        <w:jc w:val="both"/>
        <w:rPr>
          <w:i/>
        </w:rPr>
      </w:pPr>
    </w:p>
    <w:p w:rsidR="009F4299" w:rsidRDefault="009F4299" w:rsidP="009F1F06">
      <w:pPr>
        <w:pStyle w:val="Formal1"/>
        <w:jc w:val="both"/>
        <w:rPr>
          <w:i/>
        </w:rPr>
      </w:pPr>
      <w:r>
        <w:rPr>
          <w:i/>
        </w:rPr>
        <w:t xml:space="preserve">Q: A question was asked about date of admission and from date of service. Are these supposed to be billed as on the claim if we have disallowed days do we put them in there? </w:t>
      </w:r>
    </w:p>
    <w:p w:rsidR="009F4299" w:rsidRDefault="009F4299" w:rsidP="009F1F06">
      <w:pPr>
        <w:pStyle w:val="Formal1"/>
        <w:jc w:val="both"/>
        <w:rPr>
          <w:i/>
        </w:rPr>
      </w:pPr>
      <w:r>
        <w:rPr>
          <w:i/>
        </w:rPr>
        <w:t xml:space="preserve">A: Lori said </w:t>
      </w:r>
      <w:r w:rsidR="003A0546">
        <w:rPr>
          <w:i/>
        </w:rPr>
        <w:t xml:space="preserve">this was asked about </w:t>
      </w:r>
      <w:r>
        <w:rPr>
          <w:i/>
        </w:rPr>
        <w:t xml:space="preserve">how we want those covered in the covered days </w:t>
      </w:r>
      <w:r w:rsidR="003A0546">
        <w:rPr>
          <w:i/>
        </w:rPr>
        <w:t xml:space="preserve">and Lori said she needs to take a look at this. </w:t>
      </w:r>
    </w:p>
    <w:p w:rsidR="00B10A7A" w:rsidRPr="00EC2160" w:rsidRDefault="00B10A7A" w:rsidP="009F1F06">
      <w:pPr>
        <w:pStyle w:val="Formal1"/>
        <w:jc w:val="both"/>
        <w:rPr>
          <w:i/>
        </w:rPr>
      </w:pPr>
    </w:p>
    <w:p w:rsidR="00E30B2B" w:rsidRDefault="00E30B2B" w:rsidP="009F1F06">
      <w:pPr>
        <w:pStyle w:val="Formal1"/>
        <w:jc w:val="both"/>
        <w:rPr>
          <w:i/>
        </w:rPr>
      </w:pPr>
      <w:r w:rsidRPr="002F0B29">
        <w:rPr>
          <w:b/>
          <w:i/>
        </w:rPr>
        <w:t>ACTION ITEM:</w:t>
      </w:r>
      <w:r>
        <w:rPr>
          <w:i/>
        </w:rPr>
        <w:t xml:space="preserve"> Lori will get clarification on how it impacts covered days.</w:t>
      </w:r>
    </w:p>
    <w:p w:rsidR="00596E8E" w:rsidRDefault="00596E8E" w:rsidP="009F1F06">
      <w:pPr>
        <w:pStyle w:val="Formal1"/>
        <w:jc w:val="both"/>
        <w:rPr>
          <w:i/>
        </w:rPr>
      </w:pPr>
    </w:p>
    <w:p w:rsidR="007433A3" w:rsidRDefault="007433A3" w:rsidP="009F1F06">
      <w:pPr>
        <w:pStyle w:val="Formal1"/>
        <w:jc w:val="both"/>
        <w:rPr>
          <w:i/>
        </w:rPr>
      </w:pPr>
      <w:r>
        <w:rPr>
          <w:i/>
        </w:rPr>
        <w:t>Q: A question was asked about cut off age for the policy adjuster where it says less than or equal to 18.</w:t>
      </w:r>
    </w:p>
    <w:p w:rsidR="007433A3" w:rsidRDefault="007433A3" w:rsidP="009F1F06">
      <w:pPr>
        <w:pStyle w:val="Formal1"/>
        <w:jc w:val="both"/>
        <w:rPr>
          <w:i/>
        </w:rPr>
      </w:pPr>
      <w:r>
        <w:rPr>
          <w:i/>
        </w:rPr>
        <w:t>A:</w:t>
      </w:r>
      <w:r w:rsidR="00B10A7A">
        <w:rPr>
          <w:i/>
        </w:rPr>
        <w:t xml:space="preserve"> Ben confirmed after the meeting that this is though the age of 18</w:t>
      </w:r>
      <w:r w:rsidR="00050D74">
        <w:rPr>
          <w:i/>
        </w:rPr>
        <w:t xml:space="preserve"> once they turn 1</w:t>
      </w:r>
      <w:r w:rsidR="00B10A7A">
        <w:rPr>
          <w:i/>
        </w:rPr>
        <w:t>9</w:t>
      </w:r>
      <w:r w:rsidR="00050D74">
        <w:rPr>
          <w:i/>
        </w:rPr>
        <w:t>, they aren’t pediatric any more.</w:t>
      </w:r>
    </w:p>
    <w:p w:rsidR="00B10A7A" w:rsidRDefault="00B10A7A" w:rsidP="009F1F06">
      <w:pPr>
        <w:pStyle w:val="Formal1"/>
        <w:jc w:val="both"/>
        <w:rPr>
          <w:i/>
        </w:rPr>
      </w:pPr>
    </w:p>
    <w:p w:rsidR="00DB61D9" w:rsidRDefault="00DB61D9" w:rsidP="009F1F06">
      <w:pPr>
        <w:pStyle w:val="Formal1"/>
        <w:jc w:val="both"/>
      </w:pPr>
    </w:p>
    <w:p w:rsidR="00E977BF" w:rsidRPr="00DB61D9" w:rsidRDefault="00E977BF" w:rsidP="009F1F06">
      <w:pPr>
        <w:pStyle w:val="Formal1"/>
        <w:jc w:val="both"/>
      </w:pPr>
      <w:r>
        <w:t>Lori mentioned that it is the exception in processing that you have to do now if it’s a same day admit discharge</w:t>
      </w:r>
      <w:r w:rsidR="00596E8E">
        <w:t xml:space="preserve"> then</w:t>
      </w:r>
      <w:r>
        <w:t xml:space="preserve"> it gets paid under the OPFS methodology rather than inpatient methodology.</w:t>
      </w:r>
      <w:r w:rsidR="00596E8E">
        <w:t xml:space="preserve"> This is due to</w:t>
      </w:r>
      <w:r w:rsidR="00F87987">
        <w:t xml:space="preserve"> policy </w:t>
      </w:r>
      <w:r w:rsidR="00596E8E">
        <w:t xml:space="preserve">as </w:t>
      </w:r>
      <w:r w:rsidR="00F87987">
        <w:t xml:space="preserve">we don’t pay for </w:t>
      </w:r>
      <w:r w:rsidR="00C216F0">
        <w:t xml:space="preserve">date of </w:t>
      </w:r>
      <w:r w:rsidR="00F87987">
        <w:t>discharge</w:t>
      </w:r>
      <w:r w:rsidR="00C216F0">
        <w:t xml:space="preserve"> but hospitals sometimes have those really short stays. </w:t>
      </w:r>
    </w:p>
    <w:p w:rsidR="00163D69" w:rsidRDefault="00163D69" w:rsidP="009F1F06">
      <w:pPr>
        <w:pStyle w:val="Formal1"/>
        <w:jc w:val="both"/>
        <w:rPr>
          <w:i/>
        </w:rPr>
      </w:pPr>
    </w:p>
    <w:p w:rsidR="00163D69" w:rsidRDefault="00163D69" w:rsidP="009F1F06">
      <w:pPr>
        <w:pStyle w:val="Formal1"/>
        <w:jc w:val="both"/>
        <w:rPr>
          <w:i/>
        </w:rPr>
      </w:pPr>
      <w:r>
        <w:rPr>
          <w:i/>
        </w:rPr>
        <w:t xml:space="preserve">Q: A question was asked about Navigant developing this for AHCCCS to use as their fee for service pricing. </w:t>
      </w:r>
    </w:p>
    <w:p w:rsidR="00D212D8" w:rsidRDefault="00163D69" w:rsidP="009F1F06">
      <w:pPr>
        <w:pStyle w:val="Formal1"/>
        <w:jc w:val="both"/>
        <w:rPr>
          <w:i/>
        </w:rPr>
      </w:pPr>
      <w:r>
        <w:rPr>
          <w:i/>
        </w:rPr>
        <w:t>A: Ben said that is correct and Lori said we are sharing this with the group and the hospitals. This compliments the policy document and we’ve been exploring the tools that you need to have to make those things work. This has to do with pricing logic after you put</w:t>
      </w:r>
      <w:r w:rsidR="006750EB">
        <w:rPr>
          <w:i/>
        </w:rPr>
        <w:t xml:space="preserve"> it through the 3M product and you have the DRG. You have to put it through the DRG product first and then these are our policy adjustments to </w:t>
      </w:r>
      <w:r w:rsidR="00511A9E">
        <w:rPr>
          <w:i/>
        </w:rPr>
        <w:t>that base. 3M will look at this and t</w:t>
      </w:r>
      <w:r w:rsidR="003E2BC8">
        <w:rPr>
          <w:i/>
        </w:rPr>
        <w:t>his product will be distributed to providers</w:t>
      </w:r>
      <w:r w:rsidR="001B5E6B">
        <w:rPr>
          <w:i/>
        </w:rPr>
        <w:t xml:space="preserve"> and plans</w:t>
      </w:r>
      <w:r w:rsidR="003E2BC8">
        <w:rPr>
          <w:i/>
        </w:rPr>
        <w:t xml:space="preserve"> but 3M will develop their own pricing system </w:t>
      </w:r>
      <w:r w:rsidR="001B5E6B">
        <w:rPr>
          <w:i/>
        </w:rPr>
        <w:t xml:space="preserve">that can price claims </w:t>
      </w:r>
      <w:r w:rsidR="003E2BC8">
        <w:rPr>
          <w:i/>
        </w:rPr>
        <w:t xml:space="preserve">where they can key in a batch mode versus one claim at a time. </w:t>
      </w:r>
      <w:r w:rsidR="001B5E6B">
        <w:rPr>
          <w:i/>
        </w:rPr>
        <w:t>Lori said 3M will give you the DRG but they may also take our pricing rules and decide they are going to develop a product specific to Arizona Medicaid that they can sell to hospitals.</w:t>
      </w:r>
    </w:p>
    <w:p w:rsidR="00D212D8" w:rsidRDefault="00D212D8" w:rsidP="009F1F06">
      <w:pPr>
        <w:pStyle w:val="Formal1"/>
        <w:jc w:val="both"/>
        <w:rPr>
          <w:i/>
        </w:rPr>
      </w:pPr>
    </w:p>
    <w:p w:rsidR="00D212D8" w:rsidRDefault="00DE1482" w:rsidP="009F1F06">
      <w:pPr>
        <w:pStyle w:val="Formal1"/>
        <w:jc w:val="both"/>
      </w:pPr>
      <w:r>
        <w:t>Howard said the inte</w:t>
      </w:r>
      <w:r w:rsidR="00596E8E">
        <w:t xml:space="preserve">nt is that this calculator should </w:t>
      </w:r>
      <w:r>
        <w:t>match the results out of PMMIS.</w:t>
      </w:r>
    </w:p>
    <w:p w:rsidR="00DE1482" w:rsidRDefault="00DE1482" w:rsidP="009F1F06">
      <w:pPr>
        <w:pStyle w:val="Formal1"/>
        <w:jc w:val="both"/>
      </w:pPr>
    </w:p>
    <w:p w:rsidR="00DE1482" w:rsidRPr="00D212D8" w:rsidRDefault="00DE1482" w:rsidP="009F1F06">
      <w:pPr>
        <w:pStyle w:val="Formal1"/>
        <w:jc w:val="both"/>
      </w:pPr>
      <w:r>
        <w:t xml:space="preserve">Lori mentioned there are two billing changes related to DRG. The first is </w:t>
      </w:r>
      <w:r w:rsidR="009F1F06">
        <w:t>that birth</w:t>
      </w:r>
      <w:r>
        <w:t xml:space="preserve"> weight will have to be reported and Lori will get specifics to group as soon</w:t>
      </w:r>
      <w:r w:rsidR="009F1F06">
        <w:t xml:space="preserve"> as she can. The second is for </w:t>
      </w:r>
      <w:r>
        <w:t>hemophilia drugs that are admin</w:t>
      </w:r>
      <w:r w:rsidR="00596E8E">
        <w:t>istered in an inpatient setting. H</w:t>
      </w:r>
      <w:r>
        <w:t xml:space="preserve">ospitals will begin to report associated </w:t>
      </w:r>
      <w:r w:rsidR="00B10A7A">
        <w:t>HCPCS</w:t>
      </w:r>
      <w:r w:rsidR="009F1F06">
        <w:t xml:space="preserve"> and </w:t>
      </w:r>
      <w:proofErr w:type="spellStart"/>
      <w:r w:rsidR="009F1F06">
        <w:t>NDC</w:t>
      </w:r>
      <w:proofErr w:type="spellEnd"/>
      <w:r w:rsidR="009F1F06">
        <w:t xml:space="preserve"> codes</w:t>
      </w:r>
      <w:r>
        <w:t xml:space="preserve">. </w:t>
      </w:r>
      <w:r w:rsidR="009F1F06">
        <w:t>The hospitals are aware of these changes.</w:t>
      </w:r>
    </w:p>
    <w:p w:rsidR="009C4B75" w:rsidRDefault="009C4B75" w:rsidP="009F1F06">
      <w:pPr>
        <w:pStyle w:val="Formal1"/>
        <w:jc w:val="both"/>
      </w:pPr>
    </w:p>
    <w:p w:rsidR="00D17F61" w:rsidRPr="00D212D8" w:rsidRDefault="0058322A" w:rsidP="009F1F06">
      <w:pPr>
        <w:pStyle w:val="Formal1"/>
        <w:jc w:val="both"/>
        <w:rPr>
          <w:b/>
          <w:u w:val="single"/>
        </w:rPr>
      </w:pPr>
      <w:r w:rsidRPr="0058322A">
        <w:rPr>
          <w:b/>
          <w:u w:val="single"/>
        </w:rPr>
        <w:t>Next Workgroup Session</w:t>
      </w:r>
    </w:p>
    <w:p w:rsidR="00DB61D9" w:rsidRDefault="00DB61D9" w:rsidP="009F1F06">
      <w:pPr>
        <w:pStyle w:val="Formal1"/>
        <w:jc w:val="both"/>
      </w:pPr>
      <w:r>
        <w:t xml:space="preserve">Lori may try and schedule a meeting next week. </w:t>
      </w:r>
      <w:r w:rsidR="00DE1482">
        <w:t xml:space="preserve">This will be contingent on whether or not we get that </w:t>
      </w:r>
      <w:r w:rsidR="00B10A7A">
        <w:t>P</w:t>
      </w:r>
      <w:r w:rsidR="00DE1482">
        <w:t xml:space="preserve">olicy </w:t>
      </w:r>
      <w:r w:rsidR="00B10A7A">
        <w:t>D</w:t>
      </w:r>
      <w:r w:rsidR="00DE1482">
        <w:t xml:space="preserve">ocument as she would like to start walking through the policy document. </w:t>
      </w:r>
    </w:p>
    <w:p w:rsidR="00DE1482" w:rsidRDefault="00DE1482" w:rsidP="009F1F06">
      <w:pPr>
        <w:pStyle w:val="Formal1"/>
        <w:jc w:val="both"/>
      </w:pPr>
    </w:p>
    <w:p w:rsidR="00DE1482" w:rsidRDefault="00DE1482" w:rsidP="009F1F06">
      <w:pPr>
        <w:pStyle w:val="Formal1"/>
        <w:jc w:val="both"/>
      </w:pPr>
      <w:r>
        <w:t xml:space="preserve">Lori will send the </w:t>
      </w:r>
      <w:r w:rsidR="00B10A7A">
        <w:t>R</w:t>
      </w:r>
      <w:r>
        <w:t>ule out tomorrow as soon as she is notified it is posted.</w:t>
      </w:r>
    </w:p>
    <w:p w:rsidR="00260680" w:rsidRPr="008C659F" w:rsidRDefault="00260680" w:rsidP="008C659F">
      <w:pPr>
        <w:pStyle w:val="NoSpacing"/>
        <w:rPr>
          <w:rFonts w:ascii="Times New Roman" w:hAnsi="Times New Roman" w:cs="Times New Roman"/>
          <w:sz w:val="24"/>
          <w:szCs w:val="24"/>
        </w:rPr>
      </w:pPr>
    </w:p>
    <w:sectPr w:rsidR="00260680" w:rsidRPr="008C659F" w:rsidSect="00596631">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103F"/>
    <w:multiLevelType w:val="hybridMultilevel"/>
    <w:tmpl w:val="E37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170"/>
    <w:multiLevelType w:val="hybridMultilevel"/>
    <w:tmpl w:val="4DA07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C0B89"/>
    <w:multiLevelType w:val="hybridMultilevel"/>
    <w:tmpl w:val="7C0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9F"/>
    <w:rsid w:val="00005731"/>
    <w:rsid w:val="00040D0C"/>
    <w:rsid w:val="00041030"/>
    <w:rsid w:val="00050D74"/>
    <w:rsid w:val="000E5836"/>
    <w:rsid w:val="001068FF"/>
    <w:rsid w:val="00137F81"/>
    <w:rsid w:val="00140292"/>
    <w:rsid w:val="00163D69"/>
    <w:rsid w:val="00181521"/>
    <w:rsid w:val="001B3F74"/>
    <w:rsid w:val="001B5E6B"/>
    <w:rsid w:val="001D0FF4"/>
    <w:rsid w:val="00215AF5"/>
    <w:rsid w:val="00225EC6"/>
    <w:rsid w:val="0023474B"/>
    <w:rsid w:val="00240CE7"/>
    <w:rsid w:val="00260680"/>
    <w:rsid w:val="00264E81"/>
    <w:rsid w:val="00271BA5"/>
    <w:rsid w:val="00297509"/>
    <w:rsid w:val="002C1E73"/>
    <w:rsid w:val="002C7DFA"/>
    <w:rsid w:val="002E2AFF"/>
    <w:rsid w:val="002E71FD"/>
    <w:rsid w:val="002F0B29"/>
    <w:rsid w:val="002F6EDD"/>
    <w:rsid w:val="00316896"/>
    <w:rsid w:val="003364B8"/>
    <w:rsid w:val="00377728"/>
    <w:rsid w:val="003A0546"/>
    <w:rsid w:val="003D1605"/>
    <w:rsid w:val="003E2BC8"/>
    <w:rsid w:val="003F1098"/>
    <w:rsid w:val="00421E35"/>
    <w:rsid w:val="00471308"/>
    <w:rsid w:val="004A13A8"/>
    <w:rsid w:val="004E22F9"/>
    <w:rsid w:val="005105C6"/>
    <w:rsid w:val="00511A9E"/>
    <w:rsid w:val="00543B60"/>
    <w:rsid w:val="00543FC4"/>
    <w:rsid w:val="0058322A"/>
    <w:rsid w:val="0058737C"/>
    <w:rsid w:val="00596631"/>
    <w:rsid w:val="00596E8E"/>
    <w:rsid w:val="00596F5D"/>
    <w:rsid w:val="005A028F"/>
    <w:rsid w:val="005A182E"/>
    <w:rsid w:val="005C3CC6"/>
    <w:rsid w:val="005C7D8A"/>
    <w:rsid w:val="005D00D0"/>
    <w:rsid w:val="005E7CAC"/>
    <w:rsid w:val="005F51ED"/>
    <w:rsid w:val="00615ADE"/>
    <w:rsid w:val="00626AFF"/>
    <w:rsid w:val="00630BE0"/>
    <w:rsid w:val="0066001D"/>
    <w:rsid w:val="00662E17"/>
    <w:rsid w:val="006750EB"/>
    <w:rsid w:val="0068690E"/>
    <w:rsid w:val="0069301A"/>
    <w:rsid w:val="006D62D4"/>
    <w:rsid w:val="006E65E4"/>
    <w:rsid w:val="006F10B7"/>
    <w:rsid w:val="00731002"/>
    <w:rsid w:val="007433A3"/>
    <w:rsid w:val="00770985"/>
    <w:rsid w:val="00771409"/>
    <w:rsid w:val="0079575C"/>
    <w:rsid w:val="007B78EF"/>
    <w:rsid w:val="007D1F6F"/>
    <w:rsid w:val="00814873"/>
    <w:rsid w:val="008728FC"/>
    <w:rsid w:val="00892359"/>
    <w:rsid w:val="008A2923"/>
    <w:rsid w:val="008B4058"/>
    <w:rsid w:val="008C299A"/>
    <w:rsid w:val="008C659F"/>
    <w:rsid w:val="008E1C1C"/>
    <w:rsid w:val="008E7AEC"/>
    <w:rsid w:val="008F50BB"/>
    <w:rsid w:val="00950570"/>
    <w:rsid w:val="009654EB"/>
    <w:rsid w:val="00977FCB"/>
    <w:rsid w:val="00995981"/>
    <w:rsid w:val="009C4B75"/>
    <w:rsid w:val="009D6FCD"/>
    <w:rsid w:val="009F1F06"/>
    <w:rsid w:val="009F4299"/>
    <w:rsid w:val="00A0427A"/>
    <w:rsid w:val="00A566D9"/>
    <w:rsid w:val="00A77141"/>
    <w:rsid w:val="00A81CAB"/>
    <w:rsid w:val="00AF29F8"/>
    <w:rsid w:val="00B05208"/>
    <w:rsid w:val="00B10A7A"/>
    <w:rsid w:val="00B45039"/>
    <w:rsid w:val="00B70F35"/>
    <w:rsid w:val="00B7355F"/>
    <w:rsid w:val="00B91AFE"/>
    <w:rsid w:val="00BB0BD2"/>
    <w:rsid w:val="00BB1BB2"/>
    <w:rsid w:val="00C10157"/>
    <w:rsid w:val="00C216F0"/>
    <w:rsid w:val="00C25297"/>
    <w:rsid w:val="00C257AD"/>
    <w:rsid w:val="00C61BFE"/>
    <w:rsid w:val="00C71AAA"/>
    <w:rsid w:val="00CB18C5"/>
    <w:rsid w:val="00CD48D5"/>
    <w:rsid w:val="00D007A3"/>
    <w:rsid w:val="00D03D21"/>
    <w:rsid w:val="00D17F61"/>
    <w:rsid w:val="00D212D8"/>
    <w:rsid w:val="00D50D97"/>
    <w:rsid w:val="00D74077"/>
    <w:rsid w:val="00D77BA2"/>
    <w:rsid w:val="00D83282"/>
    <w:rsid w:val="00DB2777"/>
    <w:rsid w:val="00DB61D9"/>
    <w:rsid w:val="00DC1A07"/>
    <w:rsid w:val="00DD51CF"/>
    <w:rsid w:val="00DE1482"/>
    <w:rsid w:val="00E11DA1"/>
    <w:rsid w:val="00E30B2B"/>
    <w:rsid w:val="00E849A3"/>
    <w:rsid w:val="00E90BC0"/>
    <w:rsid w:val="00E977BF"/>
    <w:rsid w:val="00EB1B96"/>
    <w:rsid w:val="00EC2160"/>
    <w:rsid w:val="00EE2326"/>
    <w:rsid w:val="00F018F9"/>
    <w:rsid w:val="00F64C80"/>
    <w:rsid w:val="00F87987"/>
    <w:rsid w:val="00F90DC4"/>
    <w:rsid w:val="00F96133"/>
    <w:rsid w:val="00FA4FF7"/>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59F"/>
    <w:pPr>
      <w:spacing w:after="0" w:line="240" w:lineRule="auto"/>
    </w:pPr>
  </w:style>
  <w:style w:type="paragraph" w:customStyle="1" w:styleId="Formal1">
    <w:name w:val="Formal1"/>
    <w:basedOn w:val="Normal"/>
    <w:rsid w:val="0058322A"/>
    <w:pPr>
      <w:spacing w:before="60" w:after="60"/>
    </w:pPr>
    <w:rPr>
      <w:rFonts w:ascii="Times New Roman" w:eastAsia="Times New Roman" w:hAnsi="Times New Roman"/>
      <w:sz w:val="24"/>
      <w:szCs w:val="20"/>
    </w:rPr>
  </w:style>
  <w:style w:type="character" w:customStyle="1" w:styleId="st1">
    <w:name w:val="st1"/>
    <w:basedOn w:val="DefaultParagraphFont"/>
    <w:rsid w:val="00D17F61"/>
  </w:style>
  <w:style w:type="character" w:styleId="CommentReference">
    <w:name w:val="annotation reference"/>
    <w:basedOn w:val="DefaultParagraphFont"/>
    <w:uiPriority w:val="99"/>
    <w:semiHidden/>
    <w:unhideWhenUsed/>
    <w:rsid w:val="00B7355F"/>
    <w:rPr>
      <w:sz w:val="16"/>
      <w:szCs w:val="16"/>
    </w:rPr>
  </w:style>
  <w:style w:type="paragraph" w:styleId="CommentText">
    <w:name w:val="annotation text"/>
    <w:basedOn w:val="Normal"/>
    <w:link w:val="CommentTextChar"/>
    <w:uiPriority w:val="99"/>
    <w:semiHidden/>
    <w:unhideWhenUsed/>
    <w:rsid w:val="00B7355F"/>
    <w:rPr>
      <w:sz w:val="20"/>
      <w:szCs w:val="20"/>
    </w:rPr>
  </w:style>
  <w:style w:type="character" w:customStyle="1" w:styleId="CommentTextChar">
    <w:name w:val="Comment Text Char"/>
    <w:basedOn w:val="DefaultParagraphFont"/>
    <w:link w:val="CommentText"/>
    <w:uiPriority w:val="99"/>
    <w:semiHidden/>
    <w:rsid w:val="00B7355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55F"/>
    <w:rPr>
      <w:b/>
      <w:bCs/>
    </w:rPr>
  </w:style>
  <w:style w:type="character" w:customStyle="1" w:styleId="CommentSubjectChar">
    <w:name w:val="Comment Subject Char"/>
    <w:basedOn w:val="CommentTextChar"/>
    <w:link w:val="CommentSubject"/>
    <w:uiPriority w:val="99"/>
    <w:semiHidden/>
    <w:rsid w:val="00B7355F"/>
    <w:rPr>
      <w:rFonts w:ascii="Calibri" w:hAnsi="Calibri" w:cs="Times New Roman"/>
      <w:b/>
      <w:bCs/>
      <w:sz w:val="20"/>
      <w:szCs w:val="20"/>
    </w:rPr>
  </w:style>
  <w:style w:type="paragraph" w:styleId="BalloonText">
    <w:name w:val="Balloon Text"/>
    <w:basedOn w:val="Normal"/>
    <w:link w:val="BalloonTextChar"/>
    <w:uiPriority w:val="99"/>
    <w:semiHidden/>
    <w:unhideWhenUsed/>
    <w:rsid w:val="00B7355F"/>
    <w:rPr>
      <w:rFonts w:ascii="Tahoma" w:hAnsi="Tahoma" w:cs="Tahoma"/>
      <w:sz w:val="16"/>
      <w:szCs w:val="16"/>
    </w:rPr>
  </w:style>
  <w:style w:type="character" w:customStyle="1" w:styleId="BalloonTextChar">
    <w:name w:val="Balloon Text Char"/>
    <w:basedOn w:val="DefaultParagraphFont"/>
    <w:link w:val="BalloonText"/>
    <w:uiPriority w:val="99"/>
    <w:semiHidden/>
    <w:rsid w:val="00B73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59F"/>
    <w:pPr>
      <w:spacing w:after="0" w:line="240" w:lineRule="auto"/>
    </w:pPr>
  </w:style>
  <w:style w:type="paragraph" w:customStyle="1" w:styleId="Formal1">
    <w:name w:val="Formal1"/>
    <w:basedOn w:val="Normal"/>
    <w:rsid w:val="0058322A"/>
    <w:pPr>
      <w:spacing w:before="60" w:after="60"/>
    </w:pPr>
    <w:rPr>
      <w:rFonts w:ascii="Times New Roman" w:eastAsia="Times New Roman" w:hAnsi="Times New Roman"/>
      <w:sz w:val="24"/>
      <w:szCs w:val="20"/>
    </w:rPr>
  </w:style>
  <w:style w:type="character" w:customStyle="1" w:styleId="st1">
    <w:name w:val="st1"/>
    <w:basedOn w:val="DefaultParagraphFont"/>
    <w:rsid w:val="00D17F61"/>
  </w:style>
  <w:style w:type="character" w:styleId="CommentReference">
    <w:name w:val="annotation reference"/>
    <w:basedOn w:val="DefaultParagraphFont"/>
    <w:uiPriority w:val="99"/>
    <w:semiHidden/>
    <w:unhideWhenUsed/>
    <w:rsid w:val="00B7355F"/>
    <w:rPr>
      <w:sz w:val="16"/>
      <w:szCs w:val="16"/>
    </w:rPr>
  </w:style>
  <w:style w:type="paragraph" w:styleId="CommentText">
    <w:name w:val="annotation text"/>
    <w:basedOn w:val="Normal"/>
    <w:link w:val="CommentTextChar"/>
    <w:uiPriority w:val="99"/>
    <w:semiHidden/>
    <w:unhideWhenUsed/>
    <w:rsid w:val="00B7355F"/>
    <w:rPr>
      <w:sz w:val="20"/>
      <w:szCs w:val="20"/>
    </w:rPr>
  </w:style>
  <w:style w:type="character" w:customStyle="1" w:styleId="CommentTextChar">
    <w:name w:val="Comment Text Char"/>
    <w:basedOn w:val="DefaultParagraphFont"/>
    <w:link w:val="CommentText"/>
    <w:uiPriority w:val="99"/>
    <w:semiHidden/>
    <w:rsid w:val="00B7355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55F"/>
    <w:rPr>
      <w:b/>
      <w:bCs/>
    </w:rPr>
  </w:style>
  <w:style w:type="character" w:customStyle="1" w:styleId="CommentSubjectChar">
    <w:name w:val="Comment Subject Char"/>
    <w:basedOn w:val="CommentTextChar"/>
    <w:link w:val="CommentSubject"/>
    <w:uiPriority w:val="99"/>
    <w:semiHidden/>
    <w:rsid w:val="00B7355F"/>
    <w:rPr>
      <w:rFonts w:ascii="Calibri" w:hAnsi="Calibri" w:cs="Times New Roman"/>
      <w:b/>
      <w:bCs/>
      <w:sz w:val="20"/>
      <w:szCs w:val="20"/>
    </w:rPr>
  </w:style>
  <w:style w:type="paragraph" w:styleId="BalloonText">
    <w:name w:val="Balloon Text"/>
    <w:basedOn w:val="Normal"/>
    <w:link w:val="BalloonTextChar"/>
    <w:uiPriority w:val="99"/>
    <w:semiHidden/>
    <w:unhideWhenUsed/>
    <w:rsid w:val="00B7355F"/>
    <w:rPr>
      <w:rFonts w:ascii="Tahoma" w:hAnsi="Tahoma" w:cs="Tahoma"/>
      <w:sz w:val="16"/>
      <w:szCs w:val="16"/>
    </w:rPr>
  </w:style>
  <w:style w:type="character" w:customStyle="1" w:styleId="BalloonTextChar">
    <w:name w:val="Balloon Text Char"/>
    <w:basedOn w:val="DefaultParagraphFont"/>
    <w:link w:val="BalloonText"/>
    <w:uiPriority w:val="99"/>
    <w:semiHidden/>
    <w:rsid w:val="00B73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2149">
      <w:bodyDiv w:val="1"/>
      <w:marLeft w:val="0"/>
      <w:marRight w:val="0"/>
      <w:marTop w:val="0"/>
      <w:marBottom w:val="0"/>
      <w:divBdr>
        <w:top w:val="none" w:sz="0" w:space="0" w:color="auto"/>
        <w:left w:val="none" w:sz="0" w:space="0" w:color="auto"/>
        <w:bottom w:val="none" w:sz="0" w:space="0" w:color="auto"/>
        <w:right w:val="none" w:sz="0" w:space="0" w:color="auto"/>
      </w:divBdr>
    </w:div>
    <w:div w:id="7034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75A2-7435-4E17-8506-157DB000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Bodary, Kimberly</dc:creator>
  <cp:lastModifiedBy>Bodary, Kimberly</cp:lastModifiedBy>
  <cp:revision>4</cp:revision>
  <dcterms:created xsi:type="dcterms:W3CDTF">2014-03-12T15:13:00Z</dcterms:created>
  <dcterms:modified xsi:type="dcterms:W3CDTF">2014-03-12T18:19:00Z</dcterms:modified>
</cp:coreProperties>
</file>