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71" w:rsidRDefault="00A70A71" w:rsidP="00A70A7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August 29, 2014</w:t>
      </w:r>
    </w:p>
    <w:p w:rsidR="00A70A71" w:rsidRPr="00310A41" w:rsidRDefault="00A70A71" w:rsidP="00A70A71">
      <w:pPr>
        <w:rPr>
          <w:sz w:val="24"/>
          <w:szCs w:val="24"/>
        </w:rPr>
      </w:pPr>
    </w:p>
    <w:p w:rsidR="002644A6" w:rsidRDefault="002644A6" w:rsidP="002644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Wakina</w:t>
      </w:r>
      <w:proofErr w:type="spellEnd"/>
      <w:r>
        <w:rPr>
          <w:sz w:val="24"/>
          <w:szCs w:val="24"/>
        </w:rPr>
        <w:t xml:space="preserve"> Scott</w:t>
      </w:r>
    </w:p>
    <w:p w:rsidR="002644A6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>Division of State Demo</w:t>
      </w:r>
      <w:r>
        <w:rPr>
          <w:sz w:val="24"/>
          <w:szCs w:val="24"/>
        </w:rPr>
        <w:t>n</w:t>
      </w:r>
      <w:r w:rsidRPr="002644A6">
        <w:rPr>
          <w:sz w:val="24"/>
          <w:szCs w:val="24"/>
        </w:rPr>
        <w:t>strations &amp; Waivers</w:t>
      </w:r>
    </w:p>
    <w:p w:rsidR="002644A6" w:rsidRDefault="002644A6" w:rsidP="002644A6">
      <w:pPr>
        <w:rPr>
          <w:sz w:val="24"/>
          <w:szCs w:val="24"/>
        </w:rPr>
      </w:pPr>
      <w:r>
        <w:rPr>
          <w:sz w:val="24"/>
          <w:szCs w:val="24"/>
        </w:rPr>
        <w:t>Center for Medicaid and CHIP Services</w:t>
      </w:r>
    </w:p>
    <w:p w:rsidR="002644A6" w:rsidRPr="002644A6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>Centers for Medicare &amp; Medicaid Services</w:t>
      </w:r>
      <w:r w:rsidR="004374A5">
        <w:rPr>
          <w:sz w:val="24"/>
          <w:szCs w:val="24"/>
        </w:rPr>
        <w:t xml:space="preserve"> (CMS)</w:t>
      </w:r>
    </w:p>
    <w:p w:rsidR="002644A6" w:rsidRPr="002644A6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 xml:space="preserve">7500 Security Boulevard, Mail Stop S2-01-16 </w:t>
      </w:r>
    </w:p>
    <w:p w:rsidR="00A70A71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>Baltimore, MD 21244</w:t>
      </w:r>
      <w:r>
        <w:rPr>
          <w:sz w:val="24"/>
          <w:szCs w:val="24"/>
        </w:rPr>
        <w:t>-1850</w:t>
      </w:r>
    </w:p>
    <w:p w:rsidR="00935478" w:rsidRDefault="00935478" w:rsidP="00A70A71">
      <w:pPr>
        <w:rPr>
          <w:sz w:val="24"/>
          <w:szCs w:val="24"/>
        </w:rPr>
      </w:pPr>
    </w:p>
    <w:p w:rsidR="00007B71" w:rsidRDefault="00A70A71" w:rsidP="00A70A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</w:t>
      </w:r>
      <w:r w:rsidR="00007B71">
        <w:rPr>
          <w:b/>
          <w:sz w:val="24"/>
          <w:szCs w:val="24"/>
        </w:rPr>
        <w:tab/>
      </w:r>
      <w:r w:rsidR="003D503A">
        <w:rPr>
          <w:b/>
          <w:sz w:val="24"/>
          <w:szCs w:val="24"/>
        </w:rPr>
        <w:t xml:space="preserve">Independent Evaluation </w:t>
      </w:r>
      <w:r w:rsidR="00007B71">
        <w:rPr>
          <w:b/>
          <w:sz w:val="24"/>
          <w:szCs w:val="24"/>
        </w:rPr>
        <w:t xml:space="preserve">and Request for Extension </w:t>
      </w:r>
    </w:p>
    <w:p w:rsidR="00A70A71" w:rsidRDefault="00007B71" w:rsidP="00007B71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  <w:r w:rsidR="003D503A">
        <w:rPr>
          <w:b/>
          <w:sz w:val="24"/>
          <w:szCs w:val="24"/>
        </w:rPr>
        <w:t xml:space="preserve"> the Safety Net Care Pool for Phoenix Children’s Hospital</w:t>
      </w:r>
    </w:p>
    <w:p w:rsidR="003D503A" w:rsidRPr="00A70A71" w:rsidRDefault="003D503A" w:rsidP="00A70A71">
      <w:pPr>
        <w:rPr>
          <w:b/>
          <w:sz w:val="24"/>
          <w:szCs w:val="24"/>
        </w:rPr>
      </w:pPr>
    </w:p>
    <w:p w:rsidR="00A70A71" w:rsidRDefault="00A70A71" w:rsidP="00A70A71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627B1E">
        <w:rPr>
          <w:sz w:val="24"/>
          <w:szCs w:val="24"/>
        </w:rPr>
        <w:t>Ms. Scott:</w:t>
      </w:r>
    </w:p>
    <w:p w:rsidR="00A70A71" w:rsidRDefault="00A70A71" w:rsidP="00A70A71">
      <w:pPr>
        <w:rPr>
          <w:sz w:val="24"/>
          <w:szCs w:val="24"/>
        </w:rPr>
      </w:pPr>
    </w:p>
    <w:p w:rsidR="00A70A71" w:rsidRDefault="00A70A71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Pursuant to Special Terms and Conditi</w:t>
      </w:r>
      <w:r w:rsidR="009909BC">
        <w:rPr>
          <w:sz w:val="24"/>
          <w:szCs w:val="24"/>
        </w:rPr>
        <w:t xml:space="preserve">ons </w:t>
      </w:r>
      <w:r w:rsidR="004374A5">
        <w:rPr>
          <w:sz w:val="24"/>
          <w:szCs w:val="24"/>
        </w:rPr>
        <w:t xml:space="preserve">(STC) </w:t>
      </w:r>
      <w:r w:rsidR="009909BC">
        <w:rPr>
          <w:sz w:val="24"/>
          <w:szCs w:val="24"/>
        </w:rPr>
        <w:t>28</w:t>
      </w:r>
      <w:r w:rsidR="00627B1E">
        <w:rPr>
          <w:sz w:val="24"/>
          <w:szCs w:val="24"/>
        </w:rPr>
        <w:t>(</w:t>
      </w:r>
      <w:r w:rsidR="009909BC">
        <w:rPr>
          <w:sz w:val="24"/>
          <w:szCs w:val="24"/>
        </w:rPr>
        <w:t>g</w:t>
      </w:r>
      <w:r w:rsidR="00627B1E">
        <w:rPr>
          <w:sz w:val="24"/>
          <w:szCs w:val="24"/>
        </w:rPr>
        <w:t>)</w:t>
      </w:r>
      <w:r w:rsidR="009909BC">
        <w:rPr>
          <w:sz w:val="24"/>
          <w:szCs w:val="24"/>
        </w:rPr>
        <w:t>, enclosed is an independent e</w:t>
      </w:r>
      <w:r>
        <w:rPr>
          <w:sz w:val="24"/>
          <w:szCs w:val="24"/>
        </w:rPr>
        <w:t xml:space="preserve">valuation for the Safety Net Care Pool </w:t>
      </w:r>
      <w:r w:rsidR="003D503A">
        <w:rPr>
          <w:sz w:val="24"/>
          <w:szCs w:val="24"/>
        </w:rPr>
        <w:t xml:space="preserve">(SNCP) </w:t>
      </w:r>
      <w:r>
        <w:rPr>
          <w:sz w:val="24"/>
          <w:szCs w:val="24"/>
        </w:rPr>
        <w:t>for Phoenix Children’s Hospital</w:t>
      </w:r>
      <w:r w:rsidR="003D503A">
        <w:rPr>
          <w:sz w:val="24"/>
          <w:szCs w:val="24"/>
        </w:rPr>
        <w:t xml:space="preserve"> (PCH)</w:t>
      </w:r>
      <w:r w:rsidR="004374A5">
        <w:rPr>
          <w:sz w:val="24"/>
          <w:szCs w:val="24"/>
        </w:rPr>
        <w:t xml:space="preserve"> and a formal request to extend SNCP for PCH for one additional year under STC 25</w:t>
      </w:r>
      <w:r>
        <w:rPr>
          <w:sz w:val="24"/>
          <w:szCs w:val="24"/>
        </w:rPr>
        <w:t xml:space="preserve">.  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4374A5" w:rsidRDefault="004374A5" w:rsidP="004374A5">
      <w:pPr>
        <w:rPr>
          <w:sz w:val="24"/>
          <w:szCs w:val="24"/>
        </w:rPr>
      </w:pPr>
      <w:r w:rsidRPr="00C872DA">
        <w:rPr>
          <w:rFonts w:eastAsiaTheme="majorEastAsia"/>
          <w:bCs/>
          <w:sz w:val="24"/>
          <w:szCs w:val="24"/>
        </w:rPr>
        <w:t xml:space="preserve">As </w:t>
      </w:r>
      <w:r>
        <w:rPr>
          <w:rFonts w:eastAsiaTheme="majorEastAsia"/>
          <w:bCs/>
          <w:sz w:val="24"/>
          <w:szCs w:val="24"/>
        </w:rPr>
        <w:t xml:space="preserve">the amendment request from August 30, 2013 addresses, the extension of SNCP for PCH was expressly </w:t>
      </w:r>
      <w:r w:rsidRPr="00C872DA">
        <w:rPr>
          <w:rFonts w:eastAsiaTheme="majorEastAsia"/>
          <w:bCs/>
          <w:sz w:val="24"/>
          <w:szCs w:val="24"/>
        </w:rPr>
        <w:t>adopted by the Arizona legislature</w:t>
      </w:r>
      <w:r w:rsidR="00174865">
        <w:rPr>
          <w:rStyle w:val="FootnoteReference"/>
          <w:rFonts w:eastAsiaTheme="majorEastAsia"/>
          <w:bCs/>
          <w:sz w:val="24"/>
          <w:szCs w:val="24"/>
        </w:rPr>
        <w:footnoteReference w:id="1"/>
      </w:r>
      <w:r w:rsidRPr="00C872DA">
        <w:rPr>
          <w:rFonts w:eastAsiaTheme="majorEastAsia"/>
          <w:bCs/>
          <w:sz w:val="24"/>
          <w:szCs w:val="24"/>
        </w:rPr>
        <w:t xml:space="preserve"> as part of the negotiations to expand Medicaid under the Affordable Care Act (ACA)</w:t>
      </w:r>
      <w:r>
        <w:rPr>
          <w:rFonts w:eastAsiaTheme="majorEastAsia"/>
          <w:bCs/>
          <w:sz w:val="24"/>
          <w:szCs w:val="24"/>
        </w:rPr>
        <w:t>.</w:t>
      </w:r>
      <w:r w:rsidRPr="00C872DA">
        <w:rPr>
          <w:rFonts w:eastAsiaTheme="majorEastAsia"/>
          <w:bCs/>
          <w:sz w:val="24"/>
          <w:szCs w:val="24"/>
        </w:rPr>
        <w:t xml:space="preserve"> </w:t>
      </w:r>
      <w:r>
        <w:rPr>
          <w:rFonts w:eastAsiaTheme="majorEastAsia"/>
          <w:bCs/>
          <w:sz w:val="24"/>
          <w:szCs w:val="24"/>
        </w:rPr>
        <w:t>T</w:t>
      </w:r>
      <w:r w:rsidRPr="00C872DA">
        <w:rPr>
          <w:rFonts w:eastAsiaTheme="majorEastAsia"/>
          <w:bCs/>
          <w:sz w:val="24"/>
          <w:szCs w:val="24"/>
        </w:rPr>
        <w:t>he legislature authorized the extension of the SNCP to provide much needed support to PCH for uncompensated care and Medicaid shortfalls from January 1, 2014 through December 31, 2017.</w:t>
      </w:r>
      <w:r>
        <w:rPr>
          <w:rFonts w:eastAsiaTheme="majorEastAsia"/>
          <w:bCs/>
          <w:sz w:val="24"/>
          <w:szCs w:val="24"/>
        </w:rPr>
        <w:t xml:space="preserve"> </w:t>
      </w:r>
      <w:r w:rsidR="006A5EF8">
        <w:rPr>
          <w:sz w:val="24"/>
          <w:szCs w:val="24"/>
        </w:rPr>
        <w:t xml:space="preserve">CMS approved a one-year extension of the </w:t>
      </w:r>
      <w:r w:rsidR="004B1492">
        <w:rPr>
          <w:sz w:val="24"/>
          <w:szCs w:val="24"/>
        </w:rPr>
        <w:t xml:space="preserve">SNCP program </w:t>
      </w:r>
      <w:r w:rsidR="009909BC">
        <w:rPr>
          <w:sz w:val="24"/>
          <w:szCs w:val="24"/>
        </w:rPr>
        <w:t xml:space="preserve">for PCH through December 31, 2014 and required an independent evaluation of the program.  </w:t>
      </w:r>
      <w:r>
        <w:rPr>
          <w:sz w:val="24"/>
          <w:szCs w:val="24"/>
        </w:rPr>
        <w:t xml:space="preserve">That approval also allowed the State to submit an extension request for one additional year. </w:t>
      </w:r>
    </w:p>
    <w:p w:rsidR="004374A5" w:rsidRDefault="004374A5" w:rsidP="004374A5">
      <w:pPr>
        <w:rPr>
          <w:sz w:val="24"/>
          <w:szCs w:val="24"/>
        </w:rPr>
      </w:pPr>
    </w:p>
    <w:p w:rsidR="00060B93" w:rsidRDefault="003D503A" w:rsidP="004374A5">
      <w:pPr>
        <w:rPr>
          <w:sz w:val="24"/>
          <w:szCs w:val="24"/>
        </w:rPr>
      </w:pPr>
      <w:r>
        <w:rPr>
          <w:sz w:val="24"/>
          <w:szCs w:val="24"/>
        </w:rPr>
        <w:t>The Arizona Health Care Cost Containment Center (AHCCCS) contracted with Public Consulting Group</w:t>
      </w:r>
      <w:r w:rsidR="009909BC">
        <w:rPr>
          <w:sz w:val="24"/>
          <w:szCs w:val="24"/>
        </w:rPr>
        <w:t xml:space="preserve"> </w:t>
      </w:r>
      <w:r w:rsidR="004374A5">
        <w:rPr>
          <w:sz w:val="24"/>
          <w:szCs w:val="24"/>
        </w:rPr>
        <w:t xml:space="preserve">(PCG) </w:t>
      </w:r>
      <w:r w:rsidR="009909BC">
        <w:rPr>
          <w:sz w:val="24"/>
          <w:szCs w:val="24"/>
        </w:rPr>
        <w:t xml:space="preserve">to provide an independent analysis of the program.  </w:t>
      </w:r>
      <w:r w:rsidR="004374A5">
        <w:rPr>
          <w:sz w:val="24"/>
          <w:szCs w:val="24"/>
        </w:rPr>
        <w:t>Pursuant to STC 28(g), t</w:t>
      </w:r>
      <w:r w:rsidR="009909BC">
        <w:rPr>
          <w:sz w:val="24"/>
          <w:szCs w:val="24"/>
        </w:rPr>
        <w:t>he report includes</w:t>
      </w:r>
      <w:r w:rsidR="004374A5">
        <w:rPr>
          <w:sz w:val="24"/>
          <w:szCs w:val="24"/>
        </w:rPr>
        <w:t>:</w:t>
      </w:r>
      <w:r w:rsidR="009909BC">
        <w:rPr>
          <w:sz w:val="24"/>
          <w:szCs w:val="24"/>
        </w:rPr>
        <w:t xml:space="preserve"> a detailed analysis of the payments before and after the extension period of January 1, 2014</w:t>
      </w:r>
      <w:r w:rsidR="004374A5">
        <w:rPr>
          <w:sz w:val="24"/>
          <w:szCs w:val="24"/>
        </w:rPr>
        <w:t>;</w:t>
      </w:r>
      <w:r w:rsidR="009909BC">
        <w:rPr>
          <w:sz w:val="24"/>
          <w:szCs w:val="24"/>
        </w:rPr>
        <w:t xml:space="preserve"> a comparison of the payments that are attributable to uninsured children and Medicaid beneficiaries</w:t>
      </w:r>
      <w:r w:rsidR="004374A5">
        <w:rPr>
          <w:sz w:val="24"/>
          <w:szCs w:val="24"/>
        </w:rPr>
        <w:t>;</w:t>
      </w:r>
      <w:r w:rsidR="009909BC">
        <w:rPr>
          <w:sz w:val="24"/>
          <w:szCs w:val="24"/>
        </w:rPr>
        <w:t xml:space="preserve"> an analysis of factors </w:t>
      </w:r>
      <w:r w:rsidR="00627B1E">
        <w:rPr>
          <w:sz w:val="24"/>
          <w:szCs w:val="24"/>
        </w:rPr>
        <w:t xml:space="preserve">that </w:t>
      </w:r>
      <w:r w:rsidR="009909BC">
        <w:rPr>
          <w:sz w:val="24"/>
          <w:szCs w:val="24"/>
        </w:rPr>
        <w:t>contribute to the necessity of SNCP payments</w:t>
      </w:r>
      <w:r w:rsidR="004374A5">
        <w:rPr>
          <w:sz w:val="24"/>
          <w:szCs w:val="24"/>
        </w:rPr>
        <w:t>;</w:t>
      </w:r>
      <w:r w:rsidR="009909BC">
        <w:rPr>
          <w:sz w:val="24"/>
          <w:szCs w:val="24"/>
        </w:rPr>
        <w:t xml:space="preserve"> a comparison of proposals and strategies to address the Medicaid shortfall</w:t>
      </w:r>
      <w:r w:rsidR="004374A5">
        <w:rPr>
          <w:sz w:val="24"/>
          <w:szCs w:val="24"/>
        </w:rPr>
        <w:t>;</w:t>
      </w:r>
      <w:r w:rsidR="009909BC">
        <w:rPr>
          <w:sz w:val="24"/>
          <w:szCs w:val="24"/>
        </w:rPr>
        <w:t xml:space="preserve"> and </w:t>
      </w:r>
      <w:r w:rsidR="00BC3517">
        <w:rPr>
          <w:sz w:val="24"/>
          <w:szCs w:val="24"/>
        </w:rPr>
        <w:t xml:space="preserve">an analysis of the findings and conclusions drawn from factors that contribute to the necessity of SNCP payments.  </w:t>
      </w:r>
      <w:r w:rsidR="004374A5">
        <w:rPr>
          <w:sz w:val="24"/>
          <w:szCs w:val="24"/>
        </w:rPr>
        <w:t xml:space="preserve">PCG’s report clearly articulate the important role the SNCP has played in supporting PCH and allowing PCH to continue its vital role as a leading children’s hospital in Arizona and the western region. </w:t>
      </w:r>
    </w:p>
    <w:p w:rsidR="00060B93" w:rsidRDefault="00060B93" w:rsidP="004374A5">
      <w:pPr>
        <w:rPr>
          <w:sz w:val="24"/>
          <w:szCs w:val="24"/>
        </w:rPr>
      </w:pPr>
    </w:p>
    <w:p w:rsidR="004374A5" w:rsidRDefault="00627B1E" w:rsidP="004374A5">
      <w:pPr>
        <w:rPr>
          <w:sz w:val="24"/>
          <w:szCs w:val="24"/>
        </w:rPr>
      </w:pPr>
      <w:r w:rsidRPr="005E6A82">
        <w:rPr>
          <w:b/>
          <w:sz w:val="24"/>
          <w:szCs w:val="24"/>
        </w:rPr>
        <w:t>In consideration of the findings contained within the independent evaluation, the AHCCCS Administration hereby formally requests that the SNCP program be extended for one additional year</w:t>
      </w:r>
      <w:r w:rsidR="00060B93" w:rsidRPr="00A3189C">
        <w:rPr>
          <w:b/>
          <w:sz w:val="24"/>
          <w:szCs w:val="24"/>
        </w:rPr>
        <w:t xml:space="preserve">, </w:t>
      </w:r>
      <w:r w:rsidR="00060B93">
        <w:rPr>
          <w:b/>
          <w:sz w:val="24"/>
          <w:szCs w:val="24"/>
        </w:rPr>
        <w:t>through December 31, 2015,</w:t>
      </w:r>
      <w:r w:rsidRPr="005E6A82">
        <w:rPr>
          <w:b/>
          <w:sz w:val="24"/>
          <w:szCs w:val="24"/>
        </w:rPr>
        <w:t xml:space="preserve"> under STC 25</w:t>
      </w:r>
      <w:r>
        <w:rPr>
          <w:sz w:val="24"/>
          <w:szCs w:val="24"/>
        </w:rPr>
        <w:t>.</w:t>
      </w:r>
      <w:r w:rsidR="00DA1DBF">
        <w:rPr>
          <w:sz w:val="24"/>
          <w:szCs w:val="24"/>
        </w:rPr>
        <w:t xml:space="preserve">  </w:t>
      </w:r>
      <w:r w:rsidR="005E6A82">
        <w:rPr>
          <w:sz w:val="24"/>
          <w:szCs w:val="24"/>
        </w:rPr>
        <w:t>Because this is an extension of an existing STC, no change to budget neutrality or to the evaluation is needed.</w:t>
      </w:r>
    </w:p>
    <w:p w:rsidR="004374A5" w:rsidRDefault="00060B93" w:rsidP="004374A5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Letter to Ms. Scott</w:t>
      </w:r>
    </w:p>
    <w:p w:rsidR="00060B93" w:rsidRDefault="00060B93" w:rsidP="004374A5">
      <w:pPr>
        <w:rPr>
          <w:sz w:val="24"/>
          <w:szCs w:val="24"/>
        </w:rPr>
      </w:pPr>
      <w:r>
        <w:rPr>
          <w:sz w:val="24"/>
          <w:szCs w:val="24"/>
        </w:rPr>
        <w:t>August 29, 2014</w:t>
      </w:r>
    </w:p>
    <w:p w:rsidR="00060B93" w:rsidRDefault="00060B93" w:rsidP="004374A5">
      <w:pPr>
        <w:rPr>
          <w:sz w:val="24"/>
          <w:szCs w:val="24"/>
        </w:rPr>
      </w:pPr>
      <w:r>
        <w:rPr>
          <w:sz w:val="24"/>
          <w:szCs w:val="24"/>
        </w:rPr>
        <w:t>Page Two</w:t>
      </w:r>
    </w:p>
    <w:p w:rsidR="00060B93" w:rsidRDefault="00060B93" w:rsidP="004374A5">
      <w:pPr>
        <w:rPr>
          <w:sz w:val="24"/>
          <w:szCs w:val="24"/>
        </w:rPr>
      </w:pPr>
    </w:p>
    <w:p w:rsidR="004374A5" w:rsidRDefault="004374A5" w:rsidP="004374A5">
      <w:pPr>
        <w:rPr>
          <w:sz w:val="24"/>
          <w:szCs w:val="24"/>
        </w:rPr>
      </w:pPr>
      <w:r>
        <w:rPr>
          <w:sz w:val="24"/>
          <w:szCs w:val="24"/>
        </w:rPr>
        <w:t>This amendment request was discussed during the July 9, 2014 meeting of the State Medicaid Advisory Committee, a public meeting.</w:t>
      </w:r>
      <w:r w:rsidR="00174865"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 The amendment was also raised in tribal consultation</w:t>
      </w:r>
      <w:r w:rsidR="00174865">
        <w:rPr>
          <w:sz w:val="24"/>
          <w:szCs w:val="24"/>
        </w:rPr>
        <w:t xml:space="preserve"> on August 15, 2013 </w:t>
      </w:r>
      <w:r w:rsidR="005E6A82">
        <w:rPr>
          <w:sz w:val="24"/>
          <w:szCs w:val="24"/>
        </w:rPr>
        <w:t>where</w:t>
      </w:r>
      <w:r w:rsidR="00174865">
        <w:rPr>
          <w:sz w:val="24"/>
          <w:szCs w:val="24"/>
        </w:rPr>
        <w:t xml:space="preserve"> the legislative directive for a multiple year request was originally discussed.</w:t>
      </w:r>
      <w:r w:rsidR="005E6A82">
        <w:rPr>
          <w:rStyle w:val="FootnoteReference"/>
          <w:sz w:val="24"/>
          <w:szCs w:val="24"/>
        </w:rPr>
        <w:footnoteReference w:id="3"/>
      </w:r>
      <w:r w:rsidR="005E6A82">
        <w:rPr>
          <w:sz w:val="24"/>
          <w:szCs w:val="24"/>
        </w:rPr>
        <w:t xml:space="preserve"> Finally, the amendment is posted on the AHCCCS website.</w:t>
      </w:r>
      <w:r w:rsidR="005E6A82">
        <w:rPr>
          <w:rStyle w:val="FootnoteReference"/>
          <w:sz w:val="24"/>
          <w:szCs w:val="24"/>
        </w:rPr>
        <w:footnoteReference w:id="4"/>
      </w:r>
    </w:p>
    <w:p w:rsidR="00174865" w:rsidRDefault="00174865" w:rsidP="004374A5">
      <w:pPr>
        <w:rPr>
          <w:sz w:val="24"/>
          <w:szCs w:val="24"/>
        </w:rPr>
      </w:pPr>
    </w:p>
    <w:p w:rsidR="00A70A71" w:rsidRDefault="00694E3B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Please do not hesitate to contact me if you require additional information</w:t>
      </w:r>
      <w:r w:rsidR="00A70A71">
        <w:rPr>
          <w:sz w:val="24"/>
          <w:szCs w:val="24"/>
        </w:rPr>
        <w:t>.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A70A71" w:rsidRDefault="00A70A71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A70A71" w:rsidRDefault="00E26C4F" w:rsidP="00E26C4F">
      <w:pPr>
        <w:jc w:val="both"/>
        <w:rPr>
          <w:sz w:val="24"/>
          <w:szCs w:val="24"/>
        </w:rPr>
      </w:pPr>
      <w:r>
        <w:rPr>
          <w:sz w:val="24"/>
          <w:szCs w:val="24"/>
        </w:rPr>
        <w:t>/s/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A70A71" w:rsidRDefault="00EC649F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Monica H. </w:t>
      </w:r>
      <w:proofErr w:type="spellStart"/>
      <w:r>
        <w:rPr>
          <w:sz w:val="24"/>
          <w:szCs w:val="24"/>
        </w:rPr>
        <w:t>Coury</w:t>
      </w:r>
      <w:proofErr w:type="spellEnd"/>
    </w:p>
    <w:p w:rsidR="00EC649F" w:rsidRDefault="00EC649F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Assistant Director</w:t>
      </w:r>
    </w:p>
    <w:p w:rsidR="00EC649F" w:rsidRDefault="00EC649F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Office of Intergovernmental Relations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5E6A82" w:rsidRPr="005E6A82" w:rsidRDefault="00A70A71" w:rsidP="005E6A82">
      <w:pPr>
        <w:pStyle w:val="Default"/>
        <w:rPr>
          <w:rFonts w:ascii="Arial" w:hAnsi="Arial" w:cs="Arial"/>
        </w:rPr>
      </w:pPr>
      <w:r>
        <w:t>Attachment</w:t>
      </w:r>
      <w:r w:rsidR="005E6A82">
        <w:t xml:space="preserve">: </w:t>
      </w:r>
      <w:r w:rsidR="005E6A82" w:rsidRPr="005E6A82">
        <w:rPr>
          <w:i/>
        </w:rPr>
        <w:t>Independent Evaluation for Safety Net Care Pool for Phoenix Children’s Hospital</w:t>
      </w:r>
      <w:r w:rsidR="005E6A82">
        <w:t>. Final Report, August 26, 2014.</w:t>
      </w:r>
    </w:p>
    <w:p w:rsidR="00922C4C" w:rsidRDefault="00922C4C" w:rsidP="000176A1"/>
    <w:sectPr w:rsidR="00922C4C" w:rsidSect="00283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BC" w:rsidRDefault="009909BC">
      <w:r>
        <w:separator/>
      </w:r>
    </w:p>
  </w:endnote>
  <w:endnote w:type="continuationSeparator" w:id="0">
    <w:p w:rsidR="009909BC" w:rsidRDefault="0099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Pr="00283427" w:rsidRDefault="009909BC" w:rsidP="00283427">
    <w:pPr>
      <w:pStyle w:val="BasicParagraph"/>
      <w:jc w:val="center"/>
      <w:rPr>
        <w:rFonts w:ascii="Arial" w:hAnsi="Arial" w:cs="Arial"/>
        <w:iCs/>
        <w:color w:val="7F7F7F"/>
        <w:sz w:val="18"/>
        <w:szCs w:val="18"/>
      </w:rPr>
    </w:pPr>
    <w:r>
      <w:rPr>
        <w:rFonts w:ascii="Arial" w:hAnsi="Arial" w:cs="Arial"/>
        <w:iCs/>
        <w:noProof/>
        <w:color w:val="338CCC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4950C0" wp14:editId="50AB9A9C">
              <wp:simplePos x="0" y="0"/>
              <wp:positionH relativeFrom="column">
                <wp:posOffset>-523875</wp:posOffset>
              </wp:positionH>
              <wp:positionV relativeFrom="paragraph">
                <wp:posOffset>-71755</wp:posOffset>
              </wp:positionV>
              <wp:extent cx="6921500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731" y="-2147483648"/>
                  <wp:lineTo x="731" y="-2147483648"/>
                  <wp:lineTo x="0" y="-2147483648"/>
                </wp:wrapPolygon>
              </wp:wrapTight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line">
                        <a:avLst/>
                      </a:prstGeom>
                      <a:noFill/>
                      <a:ln w="28575" cap="rnd">
                        <a:solidFill>
                          <a:srgbClr val="338CCC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25pt,-5.65pt" to="503.7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" strokecolor="#338ccc" strokeweight="2.25pt">
              <v:stroke dashstyle="1 1" endcap="round"/>
              <w10:wrap type="tight"/>
            </v:line>
          </w:pict>
        </mc:Fallback>
      </mc:AlternateContent>
    </w:r>
    <w:r w:rsidRPr="00A96F4C">
      <w:rPr>
        <w:rFonts w:ascii="Arial" w:hAnsi="Arial" w:cs="Arial"/>
        <w:iCs/>
        <w:color w:val="338CCC"/>
        <w:sz w:val="18"/>
        <w:szCs w:val="18"/>
      </w:rPr>
      <w:t>801 East Jefferson, Phoenix, AZ 85034 • PO Box 25520, Phoenix, AZ 85002 •</w:t>
    </w:r>
    <w:r w:rsidRPr="00A96F4C">
      <w:rPr>
        <w:rFonts w:ascii="Tw Cen MT" w:hAnsi="Tw Cen MT" w:cs="Tw Cen MT"/>
        <w:color w:val="338CCC"/>
        <w:sz w:val="16"/>
        <w:szCs w:val="16"/>
      </w:rPr>
      <w:t xml:space="preserve"> </w:t>
    </w:r>
    <w:r w:rsidRPr="00A96F4C">
      <w:rPr>
        <w:rFonts w:ascii="Arial" w:hAnsi="Arial" w:cs="Arial"/>
        <w:iCs/>
        <w:color w:val="338CCC"/>
        <w:sz w:val="18"/>
        <w:szCs w:val="18"/>
      </w:rPr>
      <w:t>602</w:t>
    </w:r>
    <w:r>
      <w:rPr>
        <w:rFonts w:ascii="Arial" w:hAnsi="Arial" w:cs="Arial"/>
        <w:iCs/>
        <w:color w:val="338CCC"/>
        <w:sz w:val="18"/>
        <w:szCs w:val="18"/>
      </w:rPr>
      <w:t>-</w:t>
    </w:r>
    <w:r w:rsidRPr="00A96F4C">
      <w:rPr>
        <w:rFonts w:ascii="Arial" w:hAnsi="Arial" w:cs="Arial"/>
        <w:iCs/>
        <w:color w:val="338CCC"/>
        <w:sz w:val="18"/>
        <w:szCs w:val="18"/>
      </w:rPr>
      <w:t>417</w:t>
    </w:r>
    <w:r>
      <w:rPr>
        <w:rFonts w:ascii="Arial" w:hAnsi="Arial" w:cs="Arial"/>
        <w:iCs/>
        <w:color w:val="338CCC"/>
        <w:sz w:val="18"/>
        <w:szCs w:val="18"/>
      </w:rPr>
      <w:t>-</w:t>
    </w:r>
    <w:r w:rsidRPr="00A96F4C">
      <w:rPr>
        <w:rFonts w:ascii="Arial" w:hAnsi="Arial" w:cs="Arial"/>
        <w:iCs/>
        <w:color w:val="338CCC"/>
        <w:sz w:val="18"/>
        <w:szCs w:val="18"/>
      </w:rPr>
      <w:t>4000</w:t>
    </w:r>
    <w:r>
      <w:rPr>
        <w:rFonts w:ascii="Arial" w:hAnsi="Arial" w:cs="Arial"/>
        <w:iCs/>
        <w:color w:val="338CCC"/>
        <w:sz w:val="18"/>
        <w:szCs w:val="18"/>
      </w:rPr>
      <w:t xml:space="preserve"> </w:t>
    </w:r>
    <w:r w:rsidRPr="00A96F4C">
      <w:rPr>
        <w:rFonts w:ascii="Arial" w:hAnsi="Arial" w:cs="Arial"/>
        <w:iCs/>
        <w:color w:val="338CCC"/>
        <w:sz w:val="18"/>
        <w:szCs w:val="18"/>
      </w:rPr>
      <w:t>•</w:t>
    </w:r>
    <w:r w:rsidRPr="00A96F4C">
      <w:rPr>
        <w:rFonts w:ascii="Tw Cen MT" w:hAnsi="Tw Cen MT" w:cs="Tw Cen MT"/>
        <w:color w:val="338CCC"/>
        <w:sz w:val="16"/>
        <w:szCs w:val="16"/>
      </w:rPr>
      <w:t xml:space="preserve"> </w:t>
    </w:r>
    <w:r w:rsidRPr="0036096E">
      <w:rPr>
        <w:rFonts w:ascii="Arial" w:hAnsi="Arial" w:cs="Arial"/>
        <w:iCs/>
        <w:color w:val="338CCC"/>
        <w:sz w:val="18"/>
        <w:szCs w:val="18"/>
      </w:rPr>
      <w:t>www.azahcccs.gov</w:t>
    </w:r>
    <w:r w:rsidRPr="00A96F4C">
      <w:rPr>
        <w:rFonts w:ascii="Arial" w:hAnsi="Arial" w:cs="Arial"/>
        <w:iCs/>
        <w:color w:val="338CCC"/>
        <w:sz w:val="18"/>
        <w:szCs w:val="18"/>
      </w:rPr>
      <w:t xml:space="preserve"> </w:t>
    </w:r>
    <w:r>
      <w:rPr>
        <w:rFonts w:ascii="Arial" w:hAnsi="Arial" w:cs="Arial"/>
        <w:iCs/>
        <w:color w:val="338CC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BC" w:rsidRDefault="009909BC">
      <w:r>
        <w:separator/>
      </w:r>
    </w:p>
  </w:footnote>
  <w:footnote w:type="continuationSeparator" w:id="0">
    <w:p w:rsidR="009909BC" w:rsidRDefault="009909BC">
      <w:r>
        <w:continuationSeparator/>
      </w:r>
    </w:p>
  </w:footnote>
  <w:footnote w:id="1">
    <w:p w:rsidR="00174865" w:rsidRDefault="00174865" w:rsidP="00174865">
      <w:pPr>
        <w:pStyle w:val="Defaul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The legislation can be found on the Arizona State Legislature’s website at this </w:t>
      </w:r>
      <w:r w:rsidR="005E6A82">
        <w:rPr>
          <w:sz w:val="18"/>
          <w:szCs w:val="18"/>
        </w:rPr>
        <w:t>l</w:t>
      </w:r>
      <w:r>
        <w:rPr>
          <w:sz w:val="18"/>
          <w:szCs w:val="18"/>
        </w:rPr>
        <w:t xml:space="preserve">ink: </w:t>
      </w:r>
      <w:hyperlink r:id="rId1" w:history="1">
        <w:r w:rsidRPr="000B0A78">
          <w:rPr>
            <w:rStyle w:val="Hyperlink"/>
            <w:sz w:val="18"/>
            <w:szCs w:val="18"/>
          </w:rPr>
          <w:t>http://www.azleg.gov/legtext/51leg/1s/laws/0010.pdf</w:t>
        </w:r>
      </w:hyperlink>
      <w:r>
        <w:rPr>
          <w:sz w:val="18"/>
          <w:szCs w:val="18"/>
        </w:rPr>
        <w:t xml:space="preserve">. </w:t>
      </w:r>
    </w:p>
  </w:footnote>
  <w:footnote w:id="2">
    <w:p w:rsidR="00174865" w:rsidRPr="005E6A82" w:rsidRDefault="00174865">
      <w:pPr>
        <w:pStyle w:val="FootnoteText"/>
        <w:rPr>
          <w:rFonts w:asciiTheme="minorHAnsi" w:hAnsiTheme="minorHAnsi"/>
          <w:sz w:val="18"/>
          <w:szCs w:val="18"/>
        </w:rPr>
      </w:pPr>
      <w:r w:rsidRPr="005E6A8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E6A82">
        <w:rPr>
          <w:rFonts w:asciiTheme="minorHAnsi" w:hAnsiTheme="minorHAnsi"/>
          <w:sz w:val="18"/>
          <w:szCs w:val="18"/>
        </w:rPr>
        <w:t xml:space="preserve"> The summary of that meeting can be found at this link on the AHCCCS website at page 51: </w:t>
      </w:r>
      <w:hyperlink r:id="rId2" w:history="1">
        <w:r w:rsidRPr="005E6A82">
          <w:rPr>
            <w:rStyle w:val="Hyperlink"/>
            <w:rFonts w:asciiTheme="minorHAnsi" w:hAnsiTheme="minorHAnsi"/>
            <w:sz w:val="18"/>
            <w:szCs w:val="18"/>
          </w:rPr>
          <w:t>http://www.azahcccs.gov/community/Downloads/SMAC/agendas/SMACMaterialsJuly92014.pdf</w:t>
        </w:r>
      </w:hyperlink>
      <w:r w:rsidRPr="005E6A82">
        <w:rPr>
          <w:rFonts w:asciiTheme="minorHAnsi" w:hAnsiTheme="minorHAnsi"/>
          <w:color w:val="1F497D"/>
          <w:sz w:val="18"/>
          <w:szCs w:val="18"/>
        </w:rPr>
        <w:t xml:space="preserve">.  </w:t>
      </w:r>
    </w:p>
  </w:footnote>
  <w:footnote w:id="3">
    <w:p w:rsidR="005E6A82" w:rsidRDefault="005E6A82" w:rsidP="005E6A82">
      <w:r w:rsidRPr="005E6A8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E6A82">
        <w:rPr>
          <w:rFonts w:asciiTheme="minorHAnsi" w:hAnsiTheme="minorHAnsi"/>
          <w:sz w:val="18"/>
          <w:szCs w:val="18"/>
        </w:rPr>
        <w:t xml:space="preserve"> See </w:t>
      </w:r>
      <w:hyperlink r:id="rId3" w:history="1">
        <w:r w:rsidRPr="005E6A82">
          <w:rPr>
            <w:rStyle w:val="Hyperlink"/>
            <w:rFonts w:asciiTheme="minorHAnsi" w:hAnsiTheme="minorHAnsi"/>
            <w:sz w:val="18"/>
            <w:szCs w:val="18"/>
          </w:rPr>
          <w:t>http://www.azahcccs.gov/tribal/Downloads/consultations/meetings/2013/081513AHCCCSTribalConsultationMeetingSummary.pdf</w:t>
        </w:r>
      </w:hyperlink>
      <w:r w:rsidRPr="005E6A82">
        <w:rPr>
          <w:rFonts w:asciiTheme="minorHAnsi" w:hAnsiTheme="minorHAnsi"/>
          <w:color w:val="1F497D"/>
          <w:sz w:val="18"/>
          <w:szCs w:val="18"/>
        </w:rPr>
        <w:t xml:space="preserve"> </w:t>
      </w:r>
    </w:p>
  </w:footnote>
  <w:footnote w:id="4">
    <w:p w:rsidR="005E6A82" w:rsidRDefault="005E6A8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4" w:history="1">
        <w:r w:rsidRPr="000B0A78">
          <w:rPr>
            <w:rStyle w:val="Hyperlink"/>
          </w:rPr>
          <w:t>http://www.azahcccs.gov/reporting/federal/waiver.aspx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Pr="0097220D" w:rsidRDefault="009909BC" w:rsidP="0097220D">
    <w:pPr>
      <w:pStyle w:val="Header"/>
      <w:tabs>
        <w:tab w:val="clear" w:pos="4320"/>
        <w:tab w:val="clear" w:pos="8640"/>
        <w:tab w:val="right" w:pos="10080"/>
      </w:tabs>
      <w:ind w:left="360"/>
      <w:jc w:val="right"/>
      <w:rPr>
        <w:rFonts w:ascii="Tw Cen MT" w:hAnsi="Tw Cen MT"/>
        <w:b/>
        <w:bCs/>
      </w:rPr>
    </w:pPr>
    <w:r>
      <w:rPr>
        <w:rFonts w:ascii="Tw Cen MT" w:hAnsi="Tw Cen MT"/>
        <w:b/>
        <w:bCs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-164465</wp:posOffset>
          </wp:positionV>
          <wp:extent cx="2221992" cy="694944"/>
          <wp:effectExtent l="0" t="0" r="6985" b="0"/>
          <wp:wrapSquare wrapText="bothSides"/>
          <wp:docPr id="17" name="Picture 17" descr="AHCCCS Logo Color RGB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HCCCS Logo Color RGB-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992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9BC" w:rsidRPr="00A96F4C" w:rsidRDefault="009909BC" w:rsidP="0097220D">
    <w:pPr>
      <w:pStyle w:val="Header"/>
      <w:tabs>
        <w:tab w:val="clear" w:pos="4320"/>
        <w:tab w:val="clear" w:pos="8640"/>
        <w:tab w:val="right" w:pos="10080"/>
      </w:tabs>
      <w:spacing w:line="280" w:lineRule="exact"/>
      <w:jc w:val="right"/>
      <w:rPr>
        <w:rFonts w:ascii="Arial" w:hAnsi="Arial" w:cs="Arial"/>
        <w:b/>
        <w:bCs/>
        <w:color w:val="338CCC"/>
      </w:rPr>
    </w:pPr>
    <w:r w:rsidRPr="00A96F4C">
      <w:rPr>
        <w:rFonts w:ascii="Arial" w:hAnsi="Arial" w:cs="Arial"/>
        <w:b/>
        <w:bCs/>
        <w:color w:val="338CCC"/>
      </w:rPr>
      <w:t>J</w:t>
    </w:r>
    <w:r w:rsidRPr="00A96F4C">
      <w:rPr>
        <w:rFonts w:ascii="Arial" w:hAnsi="Arial" w:cs="Arial"/>
        <w:b/>
        <w:color w:val="338CCC"/>
      </w:rPr>
      <w:t>anice K. Brewer</w:t>
    </w:r>
    <w:r w:rsidRPr="00A96F4C">
      <w:rPr>
        <w:rFonts w:ascii="Arial" w:hAnsi="Arial" w:cs="Arial"/>
        <w:b/>
        <w:bCs/>
        <w:color w:val="338CCC"/>
      </w:rPr>
      <w:t>, Governor</w:t>
    </w:r>
  </w:p>
  <w:p w:rsidR="009909BC" w:rsidRPr="00A96F4C" w:rsidRDefault="009909BC" w:rsidP="0097220D">
    <w:pPr>
      <w:pStyle w:val="Header"/>
      <w:tabs>
        <w:tab w:val="clear" w:pos="4320"/>
        <w:tab w:val="clear" w:pos="8640"/>
        <w:tab w:val="right" w:pos="10080"/>
      </w:tabs>
      <w:spacing w:line="280" w:lineRule="exact"/>
      <w:ind w:left="360"/>
      <w:jc w:val="right"/>
      <w:rPr>
        <w:rFonts w:ascii="Arial" w:hAnsi="Arial" w:cs="Arial"/>
        <w:b/>
        <w:bCs/>
        <w:color w:val="338CCC"/>
      </w:rPr>
    </w:pPr>
    <w:r w:rsidRPr="00A96F4C">
      <w:rPr>
        <w:rFonts w:ascii="Arial" w:hAnsi="Arial" w:cs="Arial"/>
        <w:b/>
        <w:bCs/>
        <w:color w:val="338CCC"/>
      </w:rPr>
      <w:t>Thomas J. Betlach, Director</w:t>
    </w:r>
  </w:p>
  <w:p w:rsidR="009909BC" w:rsidRDefault="009909BC" w:rsidP="00BD13B7">
    <w:pPr>
      <w:pStyle w:val="Header"/>
      <w:rPr>
        <w:color w:val="338CCC"/>
      </w:rPr>
    </w:pPr>
    <w:r>
      <w:rPr>
        <w:noProof/>
        <w:color w:val="338CCC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71120</wp:posOffset>
              </wp:positionV>
              <wp:extent cx="6921500" cy="0"/>
              <wp:effectExtent l="0" t="0" r="0" b="0"/>
              <wp:wrapSquare wrapText="bothSides"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line">
                        <a:avLst/>
                      </a:prstGeom>
                      <a:noFill/>
                      <a:ln w="28575" cap="rnd">
                        <a:solidFill>
                          <a:srgbClr val="338CCC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05pt,5.6pt" to="506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" strokecolor="#338ccc" strokeweight="2.25pt">
              <v:stroke dashstyle="1 1" endcap="round"/>
              <w10:wrap type="square"/>
            </v:line>
          </w:pict>
        </mc:Fallback>
      </mc:AlternateContent>
    </w:r>
  </w:p>
  <w:p w:rsidR="009909BC" w:rsidRPr="00A96F4C" w:rsidRDefault="009909BC" w:rsidP="00BD13B7">
    <w:pPr>
      <w:pStyle w:val="Header"/>
      <w:rPr>
        <w:color w:val="338CC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71"/>
    <w:rsid w:val="000064D1"/>
    <w:rsid w:val="00007B71"/>
    <w:rsid w:val="00010439"/>
    <w:rsid w:val="00016FAB"/>
    <w:rsid w:val="000176A1"/>
    <w:rsid w:val="00060B93"/>
    <w:rsid w:val="00070E85"/>
    <w:rsid w:val="000E4397"/>
    <w:rsid w:val="000F0F7E"/>
    <w:rsid w:val="00125BD6"/>
    <w:rsid w:val="00174865"/>
    <w:rsid w:val="001C4E8C"/>
    <w:rsid w:val="00260C34"/>
    <w:rsid w:val="002644A6"/>
    <w:rsid w:val="00283427"/>
    <w:rsid w:val="002E610E"/>
    <w:rsid w:val="00341E25"/>
    <w:rsid w:val="0036096E"/>
    <w:rsid w:val="00392EE8"/>
    <w:rsid w:val="003B083E"/>
    <w:rsid w:val="003D503A"/>
    <w:rsid w:val="004374A5"/>
    <w:rsid w:val="00440501"/>
    <w:rsid w:val="004B1492"/>
    <w:rsid w:val="005B302D"/>
    <w:rsid w:val="005E6A82"/>
    <w:rsid w:val="00627B1E"/>
    <w:rsid w:val="006725A9"/>
    <w:rsid w:val="0068191F"/>
    <w:rsid w:val="00694E3B"/>
    <w:rsid w:val="006A5EF8"/>
    <w:rsid w:val="006C3EC6"/>
    <w:rsid w:val="006D7B70"/>
    <w:rsid w:val="00794C80"/>
    <w:rsid w:val="00823EC7"/>
    <w:rsid w:val="00833B46"/>
    <w:rsid w:val="008A6000"/>
    <w:rsid w:val="008A6C56"/>
    <w:rsid w:val="008A6DC2"/>
    <w:rsid w:val="008B6563"/>
    <w:rsid w:val="008D51A3"/>
    <w:rsid w:val="00922C4C"/>
    <w:rsid w:val="00935478"/>
    <w:rsid w:val="0097220D"/>
    <w:rsid w:val="009909BC"/>
    <w:rsid w:val="00A10E62"/>
    <w:rsid w:val="00A70A71"/>
    <w:rsid w:val="00A96F4C"/>
    <w:rsid w:val="00AB5F6C"/>
    <w:rsid w:val="00B75086"/>
    <w:rsid w:val="00BC3517"/>
    <w:rsid w:val="00BD13B7"/>
    <w:rsid w:val="00BD63D4"/>
    <w:rsid w:val="00CB3381"/>
    <w:rsid w:val="00D4425E"/>
    <w:rsid w:val="00DA1DBF"/>
    <w:rsid w:val="00DE3A38"/>
    <w:rsid w:val="00E26C4F"/>
    <w:rsid w:val="00E739BF"/>
    <w:rsid w:val="00EC649F"/>
    <w:rsid w:val="00ED49BE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E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E8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70E85"/>
    <w:rPr>
      <w:color w:val="0000FF"/>
      <w:u w:val="single"/>
    </w:rPr>
  </w:style>
  <w:style w:type="character" w:customStyle="1" w:styleId="HeaderChar">
    <w:name w:val="Header Char"/>
    <w:link w:val="Header"/>
    <w:rsid w:val="00ED49BE"/>
  </w:style>
  <w:style w:type="paragraph" w:customStyle="1" w:styleId="BasicParagraph">
    <w:name w:val="[Basic Paragraph]"/>
    <w:basedOn w:val="Normal"/>
    <w:uiPriority w:val="99"/>
    <w:rsid w:val="000064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A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74865"/>
  </w:style>
  <w:style w:type="character" w:customStyle="1" w:styleId="FootnoteTextChar">
    <w:name w:val="Footnote Text Char"/>
    <w:basedOn w:val="DefaultParagraphFont"/>
    <w:link w:val="FootnoteText"/>
    <w:rsid w:val="00174865"/>
  </w:style>
  <w:style w:type="character" w:styleId="FootnoteReference">
    <w:name w:val="footnote reference"/>
    <w:basedOn w:val="DefaultParagraphFont"/>
    <w:rsid w:val="00174865"/>
    <w:rPr>
      <w:vertAlign w:val="superscript"/>
    </w:rPr>
  </w:style>
  <w:style w:type="paragraph" w:customStyle="1" w:styleId="Default">
    <w:name w:val="Default"/>
    <w:rsid w:val="00174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E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E8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70E85"/>
    <w:rPr>
      <w:color w:val="0000FF"/>
      <w:u w:val="single"/>
    </w:rPr>
  </w:style>
  <w:style w:type="character" w:customStyle="1" w:styleId="HeaderChar">
    <w:name w:val="Header Char"/>
    <w:link w:val="Header"/>
    <w:rsid w:val="00ED49BE"/>
  </w:style>
  <w:style w:type="paragraph" w:customStyle="1" w:styleId="BasicParagraph">
    <w:name w:val="[Basic Paragraph]"/>
    <w:basedOn w:val="Normal"/>
    <w:uiPriority w:val="99"/>
    <w:rsid w:val="000064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A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74865"/>
  </w:style>
  <w:style w:type="character" w:customStyle="1" w:styleId="FootnoteTextChar">
    <w:name w:val="Footnote Text Char"/>
    <w:basedOn w:val="DefaultParagraphFont"/>
    <w:link w:val="FootnoteText"/>
    <w:rsid w:val="00174865"/>
  </w:style>
  <w:style w:type="character" w:styleId="FootnoteReference">
    <w:name w:val="footnote reference"/>
    <w:basedOn w:val="DefaultParagraphFont"/>
    <w:rsid w:val="00174865"/>
    <w:rPr>
      <w:vertAlign w:val="superscript"/>
    </w:rPr>
  </w:style>
  <w:style w:type="paragraph" w:customStyle="1" w:styleId="Default">
    <w:name w:val="Default"/>
    <w:rsid w:val="00174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ahcccs.gov/tribal/Downloads/consultations/meetings/2013/081513AHCCCSTribalConsultationMeetingSummary.pdf" TargetMode="External"/><Relationship Id="rId2" Type="http://schemas.openxmlformats.org/officeDocument/2006/relationships/hyperlink" Target="http://www.azahcccs.gov/community/Downloads/SMAC/agendas/SMACMaterialsJuly92014.pdf" TargetMode="External"/><Relationship Id="rId1" Type="http://schemas.openxmlformats.org/officeDocument/2006/relationships/hyperlink" Target="http://www.azleg.gov/legtext/51leg/1s/laws/0010.pdf" TargetMode="External"/><Relationship Id="rId4" Type="http://schemas.openxmlformats.org/officeDocument/2006/relationships/hyperlink" Target="http://www.azahcccs.gov/reporting/federal/waiver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Letters%20&amp;%20Faxes%20(2014)\Central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58E6-2785-4201-BAED-6A896309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Central Letterhead Template.dotx</Template>
  <TotalTime>2</TotalTime>
  <Pages>2</Pages>
  <Words>486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AHCCCS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Upston, Amy</dc:creator>
  <cp:lastModifiedBy>Gonzales, Theresa</cp:lastModifiedBy>
  <cp:revision>2</cp:revision>
  <cp:lastPrinted>2014-04-15T18:06:00Z</cp:lastPrinted>
  <dcterms:created xsi:type="dcterms:W3CDTF">2014-08-29T23:49:00Z</dcterms:created>
  <dcterms:modified xsi:type="dcterms:W3CDTF">2014-08-29T23:49:00Z</dcterms:modified>
</cp:coreProperties>
</file>