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44C" w:rsidRDefault="000F544C" w:rsidP="000F544C">
      <w:pPr>
        <w:spacing w:after="0" w:line="240" w:lineRule="auto"/>
        <w:jc w:val="center"/>
        <w:rPr>
          <w:b/>
          <w:sz w:val="24"/>
          <w:szCs w:val="24"/>
        </w:rPr>
      </w:pPr>
      <w:bookmarkStart w:id="0" w:name="_GoBack"/>
      <w:bookmarkEnd w:id="0"/>
      <w:r>
        <w:rPr>
          <w:b/>
          <w:sz w:val="24"/>
          <w:szCs w:val="24"/>
        </w:rPr>
        <w:t>Interoperability Final Rule – MCO Workgroup</w:t>
      </w:r>
    </w:p>
    <w:p w:rsidR="000F544C" w:rsidRDefault="000F544C" w:rsidP="000F544C">
      <w:pPr>
        <w:spacing w:after="0" w:line="240" w:lineRule="auto"/>
        <w:jc w:val="center"/>
        <w:rPr>
          <w:b/>
          <w:sz w:val="24"/>
          <w:szCs w:val="24"/>
        </w:rPr>
      </w:pPr>
      <w:r>
        <w:rPr>
          <w:b/>
          <w:sz w:val="24"/>
          <w:szCs w:val="24"/>
        </w:rPr>
        <w:t>Question and Response Log</w:t>
      </w:r>
    </w:p>
    <w:p w:rsidR="000F544C" w:rsidRDefault="000F544C" w:rsidP="000F544C">
      <w:pPr>
        <w:spacing w:after="0" w:line="240" w:lineRule="auto"/>
        <w:jc w:val="center"/>
        <w:rPr>
          <w:b/>
          <w:sz w:val="24"/>
          <w:szCs w:val="24"/>
        </w:rPr>
      </w:pPr>
    </w:p>
    <w:p w:rsidR="000F544C" w:rsidRDefault="000F544C" w:rsidP="000F544C">
      <w:pPr>
        <w:spacing w:after="0" w:line="240" w:lineRule="auto"/>
        <w:rPr>
          <w:b/>
          <w:sz w:val="24"/>
          <w:szCs w:val="24"/>
        </w:rPr>
      </w:pPr>
    </w:p>
    <w:tbl>
      <w:tblPr>
        <w:tblStyle w:val="TableGrid"/>
        <w:tblW w:w="13428" w:type="dxa"/>
        <w:tblLook w:val="04A0" w:firstRow="1" w:lastRow="0" w:firstColumn="1" w:lastColumn="0" w:noHBand="0" w:noVBand="1"/>
      </w:tblPr>
      <w:tblGrid>
        <w:gridCol w:w="1548"/>
        <w:gridCol w:w="4140"/>
        <w:gridCol w:w="4950"/>
        <w:gridCol w:w="2790"/>
      </w:tblGrid>
      <w:tr w:rsidR="000F544C" w:rsidTr="000F544C">
        <w:tc>
          <w:tcPr>
            <w:tcW w:w="1548" w:type="dxa"/>
          </w:tcPr>
          <w:p w:rsidR="000F544C" w:rsidRPr="007C767D" w:rsidRDefault="000F544C" w:rsidP="000F544C">
            <w:pPr>
              <w:rPr>
                <w:rFonts w:ascii="Calibri" w:hAnsi="Calibri" w:cs="Calibri"/>
                <w:b/>
              </w:rPr>
            </w:pPr>
            <w:r w:rsidRPr="007C767D">
              <w:rPr>
                <w:rFonts w:ascii="Calibri" w:hAnsi="Calibri" w:cs="Calibri"/>
                <w:b/>
              </w:rPr>
              <w:t>Date Received</w:t>
            </w:r>
          </w:p>
        </w:tc>
        <w:tc>
          <w:tcPr>
            <w:tcW w:w="4140" w:type="dxa"/>
          </w:tcPr>
          <w:p w:rsidR="000F544C" w:rsidRPr="007C767D" w:rsidRDefault="000F544C" w:rsidP="000F544C">
            <w:pPr>
              <w:rPr>
                <w:rFonts w:ascii="Calibri" w:hAnsi="Calibri" w:cs="Calibri"/>
                <w:b/>
                <w:sz w:val="24"/>
                <w:szCs w:val="24"/>
              </w:rPr>
            </w:pPr>
            <w:r w:rsidRPr="007C767D">
              <w:rPr>
                <w:rFonts w:ascii="Calibri" w:hAnsi="Calibri" w:cs="Calibri"/>
                <w:b/>
                <w:sz w:val="24"/>
                <w:szCs w:val="24"/>
              </w:rPr>
              <w:t>Question</w:t>
            </w:r>
          </w:p>
        </w:tc>
        <w:tc>
          <w:tcPr>
            <w:tcW w:w="4950" w:type="dxa"/>
          </w:tcPr>
          <w:p w:rsidR="000F544C" w:rsidRDefault="000F544C" w:rsidP="000F544C">
            <w:pPr>
              <w:rPr>
                <w:b/>
                <w:sz w:val="24"/>
                <w:szCs w:val="24"/>
              </w:rPr>
            </w:pPr>
            <w:r>
              <w:rPr>
                <w:b/>
                <w:sz w:val="24"/>
                <w:szCs w:val="24"/>
              </w:rPr>
              <w:t>Response</w:t>
            </w:r>
          </w:p>
        </w:tc>
        <w:tc>
          <w:tcPr>
            <w:tcW w:w="2790" w:type="dxa"/>
          </w:tcPr>
          <w:p w:rsidR="000F544C" w:rsidRDefault="000F544C" w:rsidP="000F544C">
            <w:pPr>
              <w:rPr>
                <w:b/>
                <w:sz w:val="24"/>
                <w:szCs w:val="24"/>
              </w:rPr>
            </w:pPr>
            <w:r>
              <w:rPr>
                <w:b/>
                <w:sz w:val="24"/>
                <w:szCs w:val="24"/>
              </w:rPr>
              <w:t>Assigned To/Status</w:t>
            </w:r>
          </w:p>
        </w:tc>
      </w:tr>
      <w:tr w:rsidR="000F544C" w:rsidRPr="000F544C" w:rsidTr="000F544C">
        <w:trPr>
          <w:trHeight w:val="71"/>
        </w:trPr>
        <w:tc>
          <w:tcPr>
            <w:tcW w:w="1548" w:type="dxa"/>
            <w:shd w:val="clear" w:color="auto" w:fill="BFBFBF" w:themeFill="background1" w:themeFillShade="BF"/>
          </w:tcPr>
          <w:p w:rsidR="000F544C" w:rsidRPr="007C767D" w:rsidRDefault="000F544C" w:rsidP="000F544C">
            <w:pPr>
              <w:rPr>
                <w:rFonts w:ascii="Calibri" w:hAnsi="Calibri" w:cs="Calibri"/>
              </w:rPr>
            </w:pPr>
          </w:p>
        </w:tc>
        <w:tc>
          <w:tcPr>
            <w:tcW w:w="4140" w:type="dxa"/>
            <w:shd w:val="clear" w:color="auto" w:fill="BFBFBF" w:themeFill="background1" w:themeFillShade="BF"/>
          </w:tcPr>
          <w:p w:rsidR="000F544C" w:rsidRPr="007C767D" w:rsidRDefault="000F544C" w:rsidP="000F544C">
            <w:pPr>
              <w:rPr>
                <w:rFonts w:ascii="Calibri" w:hAnsi="Calibri" w:cs="Calibri"/>
              </w:rPr>
            </w:pPr>
          </w:p>
        </w:tc>
        <w:tc>
          <w:tcPr>
            <w:tcW w:w="4950" w:type="dxa"/>
            <w:shd w:val="clear" w:color="auto" w:fill="BFBFBF" w:themeFill="background1" w:themeFillShade="BF"/>
          </w:tcPr>
          <w:p w:rsidR="000F544C" w:rsidRPr="000F544C" w:rsidRDefault="000F544C" w:rsidP="000F544C"/>
        </w:tc>
        <w:tc>
          <w:tcPr>
            <w:tcW w:w="2790" w:type="dxa"/>
            <w:shd w:val="clear" w:color="auto" w:fill="BFBFBF" w:themeFill="background1" w:themeFillShade="BF"/>
          </w:tcPr>
          <w:p w:rsidR="000F544C" w:rsidRPr="000F544C" w:rsidRDefault="000F544C" w:rsidP="000F544C"/>
        </w:tc>
      </w:tr>
      <w:tr w:rsidR="000F544C" w:rsidRPr="000F544C" w:rsidTr="000F544C">
        <w:tc>
          <w:tcPr>
            <w:tcW w:w="1548" w:type="dxa"/>
          </w:tcPr>
          <w:p w:rsidR="000F544C" w:rsidRPr="007C767D" w:rsidRDefault="000F544C" w:rsidP="000F544C">
            <w:pPr>
              <w:rPr>
                <w:rFonts w:ascii="Calibri" w:hAnsi="Calibri" w:cs="Calibri"/>
              </w:rPr>
            </w:pPr>
            <w:r w:rsidRPr="007C767D">
              <w:rPr>
                <w:rFonts w:ascii="Calibri" w:hAnsi="Calibri" w:cs="Calibri"/>
              </w:rPr>
              <w:t>7/15/2020</w:t>
            </w:r>
          </w:p>
        </w:tc>
        <w:tc>
          <w:tcPr>
            <w:tcW w:w="4140" w:type="dxa"/>
          </w:tcPr>
          <w:p w:rsidR="000F544C" w:rsidRPr="007C767D" w:rsidRDefault="000F544C" w:rsidP="000F544C">
            <w:pPr>
              <w:rPr>
                <w:rFonts w:ascii="Calibri" w:hAnsi="Calibri" w:cs="Calibri"/>
              </w:rPr>
            </w:pPr>
            <w:r w:rsidRPr="007C767D">
              <w:rPr>
                <w:rFonts w:ascii="Calibri" w:hAnsi="Calibri" w:cs="Calibri"/>
                <w:color w:val="222222"/>
                <w:shd w:val="clear" w:color="auto" w:fill="FFFFFF"/>
              </w:rPr>
              <w:t>Can you confirm if your contracts have any provisions or your state has provided any guidance against the sharing of “sensitive data” in terms of diagnosis or procedure codes that are excluded from sharing?</w:t>
            </w:r>
          </w:p>
        </w:tc>
        <w:tc>
          <w:tcPr>
            <w:tcW w:w="4950" w:type="dxa"/>
          </w:tcPr>
          <w:p w:rsidR="000F544C" w:rsidRPr="000F544C" w:rsidRDefault="0027145F" w:rsidP="000F544C">
            <w:r>
              <w:rPr>
                <w:rFonts w:ascii="Calibri" w:hAnsi="Calibri" w:cs="Calibri"/>
                <w:color w:val="000000"/>
              </w:rPr>
              <w:t>AHCCCS Response: Payers can only refuse to provide data through the member’s selected third part app if that app does not meet the plan’s publicly available security requirements for access to its FHIR server data warehouse.  AHCCCS will take this question under further consideration for additional subsequent response.</w:t>
            </w:r>
          </w:p>
        </w:tc>
        <w:tc>
          <w:tcPr>
            <w:tcW w:w="2790" w:type="dxa"/>
          </w:tcPr>
          <w:p w:rsidR="000F544C" w:rsidRPr="000F544C" w:rsidRDefault="001B2604" w:rsidP="000F544C">
            <w:r>
              <w:t>Response noted 7/31/2020</w:t>
            </w:r>
          </w:p>
        </w:tc>
      </w:tr>
      <w:tr w:rsidR="000F544C" w:rsidRPr="000F544C" w:rsidTr="000F544C">
        <w:tc>
          <w:tcPr>
            <w:tcW w:w="1548" w:type="dxa"/>
          </w:tcPr>
          <w:p w:rsidR="000F544C" w:rsidRPr="007C767D" w:rsidRDefault="000F544C" w:rsidP="000F544C">
            <w:pPr>
              <w:rPr>
                <w:rFonts w:ascii="Calibri" w:hAnsi="Calibri" w:cs="Calibri"/>
              </w:rPr>
            </w:pPr>
            <w:r w:rsidRPr="007C767D">
              <w:rPr>
                <w:rFonts w:ascii="Calibri" w:hAnsi="Calibri" w:cs="Calibri"/>
              </w:rPr>
              <w:t>7/15/2020</w:t>
            </w:r>
          </w:p>
        </w:tc>
        <w:tc>
          <w:tcPr>
            <w:tcW w:w="4140" w:type="dxa"/>
          </w:tcPr>
          <w:p w:rsidR="000F544C" w:rsidRPr="007C767D" w:rsidRDefault="000F544C" w:rsidP="000F544C">
            <w:pPr>
              <w:rPr>
                <w:rFonts w:ascii="Calibri" w:hAnsi="Calibri" w:cs="Calibri"/>
              </w:rPr>
            </w:pPr>
            <w:r w:rsidRPr="007C767D">
              <w:rPr>
                <w:rFonts w:ascii="Calibri" w:hAnsi="Calibri" w:cs="Calibri"/>
                <w:color w:val="222222"/>
                <w:shd w:val="clear" w:color="auto" w:fill="FFFFFF"/>
              </w:rPr>
              <w:t>Will your state contracts require approval for any member portal content as it pertains to educating members about Interoperability &amp; Patient Access? If yes, please provide state approval timeframes and guidelines</w:t>
            </w:r>
          </w:p>
        </w:tc>
        <w:tc>
          <w:tcPr>
            <w:tcW w:w="4950" w:type="dxa"/>
          </w:tcPr>
          <w:p w:rsidR="000F544C" w:rsidRPr="000F544C" w:rsidRDefault="0027145F" w:rsidP="000F544C">
            <w:r>
              <w:rPr>
                <w:rFonts w:ascii="Calibri" w:hAnsi="Calibri" w:cs="Calibri"/>
                <w:color w:val="000000"/>
              </w:rPr>
              <w:t xml:space="preserve">AHCCCS Response: Any revisions to member portal content will require prior approval as per AHCCCS’ member website requirements and timelines in ACOM Policy </w:t>
            </w:r>
            <w:hyperlink r:id="rId5" w:history="1">
              <w:r>
                <w:rPr>
                  <w:rStyle w:val="Hyperlink"/>
                  <w:rFonts w:ascii="Calibri" w:hAnsi="Calibri" w:cs="Calibri"/>
                  <w:color w:val="1155CC"/>
                </w:rPr>
                <w:t>404 - Contractor Website and Member Information</w:t>
              </w:r>
            </w:hyperlink>
            <w:r>
              <w:rPr>
                <w:rFonts w:ascii="Calibri" w:hAnsi="Calibri" w:cs="Calibri"/>
                <w:color w:val="000000"/>
              </w:rPr>
              <w:t>.  Additional guidance and sample language regarding member education activities to be determined and further provided by CMS. </w:t>
            </w:r>
          </w:p>
        </w:tc>
        <w:tc>
          <w:tcPr>
            <w:tcW w:w="2790" w:type="dxa"/>
          </w:tcPr>
          <w:p w:rsidR="000F544C" w:rsidRPr="000F544C" w:rsidRDefault="001B2604" w:rsidP="000F544C">
            <w:r>
              <w:t>Response noted 7/31/2020</w:t>
            </w:r>
          </w:p>
        </w:tc>
      </w:tr>
      <w:tr w:rsidR="000F544C" w:rsidRPr="000F544C" w:rsidTr="000F544C">
        <w:tc>
          <w:tcPr>
            <w:tcW w:w="1548" w:type="dxa"/>
          </w:tcPr>
          <w:p w:rsidR="000F544C" w:rsidRPr="007C767D" w:rsidRDefault="000F544C" w:rsidP="000F544C">
            <w:pPr>
              <w:rPr>
                <w:rFonts w:ascii="Calibri" w:hAnsi="Calibri" w:cs="Calibri"/>
              </w:rPr>
            </w:pPr>
            <w:r w:rsidRPr="007C767D">
              <w:rPr>
                <w:rFonts w:ascii="Calibri" w:hAnsi="Calibri" w:cs="Calibri"/>
              </w:rPr>
              <w:t>7/15/2020</w:t>
            </w:r>
          </w:p>
        </w:tc>
        <w:tc>
          <w:tcPr>
            <w:tcW w:w="4140" w:type="dxa"/>
          </w:tcPr>
          <w:p w:rsidR="000F544C" w:rsidRPr="007C767D" w:rsidRDefault="000F544C" w:rsidP="00E117E4">
            <w:pPr>
              <w:rPr>
                <w:rFonts w:ascii="Calibri" w:hAnsi="Calibri" w:cs="Calibri"/>
              </w:rPr>
            </w:pPr>
            <w:r w:rsidRPr="007C767D">
              <w:rPr>
                <w:rFonts w:ascii="Calibri" w:hAnsi="Calibri" w:cs="Calibri"/>
              </w:rPr>
              <w:t xml:space="preserve">Under the </w:t>
            </w:r>
            <w:r w:rsidR="00E117E4" w:rsidRPr="007C767D">
              <w:rPr>
                <w:rFonts w:ascii="Calibri" w:hAnsi="Calibri" w:cs="Calibri"/>
              </w:rPr>
              <w:t xml:space="preserve">requirement </w:t>
            </w:r>
            <w:r w:rsidRPr="007C767D">
              <w:rPr>
                <w:rFonts w:ascii="Calibri" w:hAnsi="Calibri" w:cs="Calibri"/>
              </w:rPr>
              <w:t xml:space="preserve">for Patient Access </w:t>
            </w:r>
            <w:r w:rsidR="00E117E4" w:rsidRPr="007C767D">
              <w:rPr>
                <w:rFonts w:ascii="Calibri" w:hAnsi="Calibri" w:cs="Calibri"/>
              </w:rPr>
              <w:t>API as</w:t>
            </w:r>
            <w:r w:rsidR="00DB5C3A" w:rsidRPr="007C767D">
              <w:rPr>
                <w:rFonts w:ascii="Calibri" w:hAnsi="Calibri" w:cs="Calibri"/>
              </w:rPr>
              <w:t xml:space="preserve"> well as Care Coordination Across Payers - Data from January 1, 2016 needs to be available.  Is there a length of time that we need to support data that far back or will this need to be supported that far back indefinitely?  </w:t>
            </w:r>
          </w:p>
        </w:tc>
        <w:tc>
          <w:tcPr>
            <w:tcW w:w="4950" w:type="dxa"/>
          </w:tcPr>
          <w:p w:rsidR="0027145F" w:rsidRDefault="0027145F" w:rsidP="0027145F">
            <w:pPr>
              <w:pStyle w:val="NormalWeb"/>
              <w:spacing w:before="0" w:beforeAutospacing="0" w:after="0" w:afterAutospacing="0"/>
            </w:pPr>
            <w:r>
              <w:rPr>
                <w:rFonts w:ascii="Calibri" w:hAnsi="Calibri" w:cs="Calibri"/>
                <w:color w:val="000000"/>
                <w:sz w:val="22"/>
                <w:szCs w:val="22"/>
              </w:rPr>
              <w:t xml:space="preserve">AHCCCS Response: Per CMS’ S-TAG virtual conference call of 07/13/2020, if a continuously enrolled member makes a request in 2025, a plan would need to make such data available from 01/01/2016.  If the member is </w:t>
            </w:r>
            <w:proofErr w:type="spellStart"/>
            <w:r>
              <w:rPr>
                <w:rFonts w:ascii="Calibri" w:hAnsi="Calibri" w:cs="Calibri"/>
                <w:color w:val="000000"/>
                <w:sz w:val="22"/>
                <w:szCs w:val="22"/>
              </w:rPr>
              <w:t>disenrolled</w:t>
            </w:r>
            <w:proofErr w:type="spellEnd"/>
            <w:r>
              <w:rPr>
                <w:rFonts w:ascii="Calibri" w:hAnsi="Calibri" w:cs="Calibri"/>
                <w:color w:val="000000"/>
                <w:sz w:val="22"/>
                <w:szCs w:val="22"/>
              </w:rPr>
              <w:t xml:space="preserve"> at any time during that period, then the plan would need only to provide the most recent 5 year period.  CMS’ ultimate long-term goal is that these health record data sets are available to member’s covering their lifetimes.</w:t>
            </w:r>
          </w:p>
          <w:p w:rsidR="000F544C" w:rsidRPr="000F544C" w:rsidRDefault="000F544C" w:rsidP="000F544C"/>
        </w:tc>
        <w:tc>
          <w:tcPr>
            <w:tcW w:w="2790" w:type="dxa"/>
          </w:tcPr>
          <w:p w:rsidR="000F544C" w:rsidRPr="000F544C" w:rsidRDefault="001B2604" w:rsidP="000F544C">
            <w:r>
              <w:t>Response noted 7/31/2020</w:t>
            </w:r>
          </w:p>
        </w:tc>
      </w:tr>
      <w:tr w:rsidR="000F544C" w:rsidRPr="000F544C" w:rsidTr="000F544C">
        <w:tc>
          <w:tcPr>
            <w:tcW w:w="1548" w:type="dxa"/>
          </w:tcPr>
          <w:p w:rsidR="000F544C" w:rsidRPr="007C767D" w:rsidRDefault="007C767D" w:rsidP="000F544C">
            <w:pPr>
              <w:rPr>
                <w:rFonts w:ascii="Calibri" w:hAnsi="Calibri" w:cs="Calibri"/>
              </w:rPr>
            </w:pPr>
            <w:r w:rsidRPr="007C767D">
              <w:rPr>
                <w:rFonts w:ascii="Calibri" w:hAnsi="Calibri" w:cs="Calibri"/>
              </w:rPr>
              <w:t>7/30/2020</w:t>
            </w:r>
          </w:p>
        </w:tc>
        <w:tc>
          <w:tcPr>
            <w:tcW w:w="4140" w:type="dxa"/>
          </w:tcPr>
          <w:p w:rsidR="000F544C" w:rsidRPr="007C767D" w:rsidRDefault="007C767D" w:rsidP="007C767D">
            <w:pPr>
              <w:rPr>
                <w:rFonts w:ascii="Calibri" w:hAnsi="Calibri" w:cs="Calibri"/>
              </w:rPr>
            </w:pPr>
            <w:r>
              <w:rPr>
                <w:rFonts w:ascii="Calibri" w:hAnsi="Calibri" w:cs="Calibri"/>
                <w:color w:val="222222"/>
                <w:shd w:val="clear" w:color="auto" w:fill="FFFFFF"/>
              </w:rPr>
              <w:t>D</w:t>
            </w:r>
            <w:r w:rsidRPr="007C767D">
              <w:rPr>
                <w:rFonts w:ascii="Calibri" w:hAnsi="Calibri" w:cs="Calibri"/>
                <w:color w:val="222222"/>
                <w:shd w:val="clear" w:color="auto" w:fill="FFFFFF"/>
              </w:rPr>
              <w:t xml:space="preserve">oes this rule include LTS services?  </w:t>
            </w:r>
          </w:p>
        </w:tc>
        <w:tc>
          <w:tcPr>
            <w:tcW w:w="4950" w:type="dxa"/>
          </w:tcPr>
          <w:p w:rsidR="000F544C" w:rsidRPr="000F544C" w:rsidRDefault="005C22D4" w:rsidP="000F544C">
            <w:r>
              <w:rPr>
                <w:rFonts w:ascii="Calibri" w:hAnsi="Calibri" w:cs="Calibri"/>
                <w:color w:val="000000"/>
              </w:rPr>
              <w:t xml:space="preserve">Yes, per rule Section III: Patient Access API: States and Medicaid MCOs must make adjudicated claims and encounter data available through the API for all </w:t>
            </w:r>
            <w:r>
              <w:rPr>
                <w:rFonts w:ascii="Calibri" w:hAnsi="Calibri" w:cs="Calibri"/>
                <w:color w:val="000000"/>
              </w:rPr>
              <w:lastRenderedPageBreak/>
              <w:t xml:space="preserve">Medicaid- or CHIP-covered services, </w:t>
            </w:r>
            <w:r w:rsidRPr="005C22D4">
              <w:rPr>
                <w:rFonts w:ascii="Calibri" w:hAnsi="Calibri" w:cs="Calibri"/>
                <w:color w:val="000000"/>
              </w:rPr>
              <w:t>including long-term services and supports (LTSS) such as in-home care, transportation services, and all</w:t>
            </w:r>
            <w:r>
              <w:rPr>
                <w:rFonts w:ascii="Calibri" w:hAnsi="Calibri" w:cs="Calibri"/>
                <w:color w:val="000000"/>
              </w:rPr>
              <w:t xml:space="preserve"> other Medicaid- or CHIP-covered services for which a claim or encounter is generated and adjudicated. (See page 25534 of the May 1, 2020 version of the final rule.)</w:t>
            </w:r>
          </w:p>
        </w:tc>
        <w:tc>
          <w:tcPr>
            <w:tcW w:w="2790" w:type="dxa"/>
          </w:tcPr>
          <w:p w:rsidR="000F544C" w:rsidRPr="000F544C" w:rsidRDefault="005C22D4" w:rsidP="005C22D4">
            <w:r>
              <w:lastRenderedPageBreak/>
              <w:t>Response noted 8/7/2020</w:t>
            </w:r>
          </w:p>
        </w:tc>
      </w:tr>
      <w:tr w:rsidR="000F544C" w:rsidRPr="000F544C" w:rsidTr="000F544C">
        <w:tc>
          <w:tcPr>
            <w:tcW w:w="1548" w:type="dxa"/>
          </w:tcPr>
          <w:p w:rsidR="000F544C" w:rsidRPr="000F544C" w:rsidRDefault="007C767D" w:rsidP="000F544C">
            <w:r>
              <w:lastRenderedPageBreak/>
              <w:t>7/30/2020</w:t>
            </w:r>
          </w:p>
        </w:tc>
        <w:tc>
          <w:tcPr>
            <w:tcW w:w="4140" w:type="dxa"/>
          </w:tcPr>
          <w:p w:rsidR="000F544C" w:rsidRPr="000F544C" w:rsidRDefault="007C767D" w:rsidP="000F544C">
            <w:r w:rsidRPr="007C767D">
              <w:rPr>
                <w:rFonts w:ascii="Calibri" w:hAnsi="Calibri" w:cs="Calibri"/>
                <w:color w:val="222222"/>
                <w:shd w:val="clear" w:color="auto" w:fill="FFFFFF"/>
              </w:rPr>
              <w:t>Is there a list of individual service types to be included that I may have overlooked?</w:t>
            </w:r>
          </w:p>
        </w:tc>
        <w:tc>
          <w:tcPr>
            <w:tcW w:w="4950" w:type="dxa"/>
          </w:tcPr>
          <w:p w:rsidR="005C22D4" w:rsidRPr="005C22D4" w:rsidRDefault="005C22D4" w:rsidP="005C22D4">
            <w:pPr>
              <w:spacing w:before="240" w:after="240"/>
              <w:rPr>
                <w:rFonts w:ascii="Times New Roman" w:eastAsia="Times New Roman" w:hAnsi="Times New Roman" w:cs="Times New Roman"/>
                <w:sz w:val="24"/>
                <w:szCs w:val="24"/>
              </w:rPr>
            </w:pPr>
            <w:r w:rsidRPr="005C22D4">
              <w:rPr>
                <w:rFonts w:ascii="Calibri" w:eastAsia="Times New Roman" w:hAnsi="Calibri" w:cs="Calibri"/>
                <w:color w:val="000000"/>
              </w:rPr>
              <w:t>Per rule Section III: Patient Access API,</w:t>
            </w:r>
          </w:p>
          <w:p w:rsidR="000F544C" w:rsidRPr="000F544C" w:rsidRDefault="005C22D4" w:rsidP="005C22D4">
            <w:r w:rsidRPr="005C22D4">
              <w:rPr>
                <w:rFonts w:ascii="Calibri" w:eastAsia="Times New Roman" w:hAnsi="Calibri" w:cs="Calibri"/>
                <w:color w:val="000000"/>
              </w:rPr>
              <w:t>As finalized, the clinical data required to be made available through the Patient Access API at 42 CFR 431.60(b)(3), and 457.730(b)(3), and 45 CFR 156.221(b)(1)(iii) at a minimum are the USCDI version 1 as defined at 45 CFR 170.213 and specified in this rule at 42 CFR 431.60(c)(3)(</w:t>
            </w:r>
            <w:proofErr w:type="spellStart"/>
            <w:r w:rsidRPr="005C22D4">
              <w:rPr>
                <w:rFonts w:ascii="Calibri" w:eastAsia="Times New Roman" w:hAnsi="Calibri" w:cs="Calibri"/>
                <w:color w:val="000000"/>
              </w:rPr>
              <w:t>i</w:t>
            </w:r>
            <w:proofErr w:type="spellEnd"/>
            <w:r w:rsidRPr="005C22D4">
              <w:rPr>
                <w:rFonts w:ascii="Calibri" w:eastAsia="Times New Roman" w:hAnsi="Calibri" w:cs="Calibri"/>
                <w:color w:val="000000"/>
              </w:rPr>
              <w:t>), and 457.730(c)(3)(</w:t>
            </w:r>
            <w:proofErr w:type="spellStart"/>
            <w:r w:rsidRPr="005C22D4">
              <w:rPr>
                <w:rFonts w:ascii="Calibri" w:eastAsia="Times New Roman" w:hAnsi="Calibri" w:cs="Calibri"/>
                <w:color w:val="000000"/>
              </w:rPr>
              <w:t>i</w:t>
            </w:r>
            <w:proofErr w:type="spellEnd"/>
            <w:r w:rsidRPr="005C22D4">
              <w:rPr>
                <w:rFonts w:ascii="Calibri" w:eastAsia="Times New Roman" w:hAnsi="Calibri" w:cs="Calibri"/>
                <w:color w:val="000000"/>
              </w:rPr>
              <w:t>), and 45 CFR 156.221(c)(3)(</w:t>
            </w:r>
            <w:proofErr w:type="spellStart"/>
            <w:r w:rsidRPr="005C22D4">
              <w:rPr>
                <w:rFonts w:ascii="Calibri" w:eastAsia="Times New Roman" w:hAnsi="Calibri" w:cs="Calibri"/>
                <w:color w:val="000000"/>
              </w:rPr>
              <w:t>i</w:t>
            </w:r>
            <w:proofErr w:type="spellEnd"/>
            <w:r w:rsidRPr="005C22D4">
              <w:rPr>
                <w:rFonts w:ascii="Calibri" w:eastAsia="Times New Roman" w:hAnsi="Calibri" w:cs="Calibri"/>
                <w:color w:val="000000"/>
              </w:rPr>
              <w:t xml:space="preserve">). (See </w:t>
            </w:r>
            <w:proofErr w:type="spellStart"/>
            <w:r w:rsidRPr="005C22D4">
              <w:rPr>
                <w:rFonts w:ascii="Calibri" w:eastAsia="Times New Roman" w:hAnsi="Calibri" w:cs="Calibri"/>
                <w:color w:val="000000"/>
              </w:rPr>
              <w:t>sectio</w:t>
            </w:r>
            <w:proofErr w:type="spellEnd"/>
            <w:r w:rsidRPr="005C22D4">
              <w:rPr>
                <w:rFonts w:ascii="Calibri" w:eastAsia="Times New Roman" w:hAnsi="Calibri" w:cs="Calibri"/>
                <w:color w:val="000000"/>
              </w:rPr>
              <w:t xml:space="preserve"> (3) beginning on page 25536 of the May 1, 2020 version of the final rule.)</w:t>
            </w:r>
          </w:p>
        </w:tc>
        <w:tc>
          <w:tcPr>
            <w:tcW w:w="2790" w:type="dxa"/>
          </w:tcPr>
          <w:p w:rsidR="000F544C" w:rsidRPr="000F544C" w:rsidRDefault="005C22D4" w:rsidP="000F544C">
            <w:r>
              <w:t>Response noted 8/7/2020</w:t>
            </w:r>
          </w:p>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bl>
    <w:p w:rsidR="000F544C" w:rsidRPr="000F544C" w:rsidRDefault="000F544C" w:rsidP="000F544C">
      <w:pPr>
        <w:spacing w:after="0" w:line="240" w:lineRule="auto"/>
        <w:jc w:val="center"/>
        <w:rPr>
          <w:b/>
          <w:sz w:val="24"/>
          <w:szCs w:val="24"/>
        </w:rPr>
      </w:pPr>
    </w:p>
    <w:sectPr w:rsidR="000F544C" w:rsidRPr="000F544C" w:rsidSect="000F544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4C"/>
    <w:rsid w:val="00013164"/>
    <w:rsid w:val="000F544C"/>
    <w:rsid w:val="001B2604"/>
    <w:rsid w:val="0027145F"/>
    <w:rsid w:val="005C22D4"/>
    <w:rsid w:val="006A544F"/>
    <w:rsid w:val="007C767D"/>
    <w:rsid w:val="00DB5C3A"/>
    <w:rsid w:val="00E11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5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7145F"/>
    <w:rPr>
      <w:color w:val="0000FF"/>
      <w:u w:val="single"/>
    </w:rPr>
  </w:style>
  <w:style w:type="paragraph" w:styleId="NormalWeb">
    <w:name w:val="Normal (Web)"/>
    <w:basedOn w:val="Normal"/>
    <w:uiPriority w:val="99"/>
    <w:semiHidden/>
    <w:unhideWhenUsed/>
    <w:rsid w:val="0027145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5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7145F"/>
    <w:rPr>
      <w:color w:val="0000FF"/>
      <w:u w:val="single"/>
    </w:rPr>
  </w:style>
  <w:style w:type="paragraph" w:styleId="NormalWeb">
    <w:name w:val="Normal (Web)"/>
    <w:basedOn w:val="Normal"/>
    <w:uiPriority w:val="99"/>
    <w:semiHidden/>
    <w:unhideWhenUsed/>
    <w:rsid w:val="002714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33099">
      <w:bodyDiv w:val="1"/>
      <w:marLeft w:val="0"/>
      <w:marRight w:val="0"/>
      <w:marTop w:val="0"/>
      <w:marBottom w:val="0"/>
      <w:divBdr>
        <w:top w:val="none" w:sz="0" w:space="0" w:color="auto"/>
        <w:left w:val="none" w:sz="0" w:space="0" w:color="auto"/>
        <w:bottom w:val="none" w:sz="0" w:space="0" w:color="auto"/>
        <w:right w:val="none" w:sz="0" w:space="0" w:color="auto"/>
      </w:divBdr>
      <w:divsChild>
        <w:div w:id="464323028">
          <w:marLeft w:val="-108"/>
          <w:marRight w:val="0"/>
          <w:marTop w:val="0"/>
          <w:marBottom w:val="0"/>
          <w:divBdr>
            <w:top w:val="none" w:sz="0" w:space="0" w:color="auto"/>
            <w:left w:val="none" w:sz="0" w:space="0" w:color="auto"/>
            <w:bottom w:val="none" w:sz="0" w:space="0" w:color="auto"/>
            <w:right w:val="none" w:sz="0" w:space="0" w:color="auto"/>
          </w:divBdr>
        </w:div>
      </w:divsChild>
    </w:div>
    <w:div w:id="1046027983">
      <w:bodyDiv w:val="1"/>
      <w:marLeft w:val="0"/>
      <w:marRight w:val="0"/>
      <w:marTop w:val="0"/>
      <w:marBottom w:val="0"/>
      <w:divBdr>
        <w:top w:val="none" w:sz="0" w:space="0" w:color="auto"/>
        <w:left w:val="none" w:sz="0" w:space="0" w:color="auto"/>
        <w:bottom w:val="none" w:sz="0" w:space="0" w:color="auto"/>
        <w:right w:val="none" w:sz="0" w:space="0" w:color="auto"/>
      </w:divBdr>
      <w:divsChild>
        <w:div w:id="1947075966">
          <w:marLeft w:val="-108"/>
          <w:marRight w:val="0"/>
          <w:marTop w:val="0"/>
          <w:marBottom w:val="0"/>
          <w:divBdr>
            <w:top w:val="none" w:sz="0" w:space="0" w:color="auto"/>
            <w:left w:val="none" w:sz="0" w:space="0" w:color="auto"/>
            <w:bottom w:val="none" w:sz="0" w:space="0" w:color="auto"/>
            <w:right w:val="none" w:sz="0" w:space="0" w:color="auto"/>
          </w:divBdr>
        </w:div>
      </w:divsChild>
    </w:div>
    <w:div w:id="1163659917">
      <w:bodyDiv w:val="1"/>
      <w:marLeft w:val="0"/>
      <w:marRight w:val="0"/>
      <w:marTop w:val="0"/>
      <w:marBottom w:val="0"/>
      <w:divBdr>
        <w:top w:val="none" w:sz="0" w:space="0" w:color="auto"/>
        <w:left w:val="none" w:sz="0" w:space="0" w:color="auto"/>
        <w:bottom w:val="none" w:sz="0" w:space="0" w:color="auto"/>
        <w:right w:val="none" w:sz="0" w:space="0" w:color="auto"/>
      </w:divBdr>
    </w:div>
    <w:div w:id="150774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zahcccs.gov/shared/Downloads/ACOM/PolicyFiles/400/404_Contractor_Website_and_Member_Informatio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Arizona AHCCCS</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Petre, Lori</dc:creator>
  <cp:lastModifiedBy>Nieder, Julie</cp:lastModifiedBy>
  <cp:revision>2</cp:revision>
  <dcterms:created xsi:type="dcterms:W3CDTF">2020-08-10T16:20:00Z</dcterms:created>
  <dcterms:modified xsi:type="dcterms:W3CDTF">2020-08-10T16:20:00Z</dcterms:modified>
</cp:coreProperties>
</file>