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4C" w:rsidRDefault="000F544C" w:rsidP="000F544C">
      <w:pPr>
        <w:spacing w:after="0" w:line="240" w:lineRule="auto"/>
        <w:jc w:val="center"/>
        <w:rPr>
          <w:b/>
          <w:sz w:val="24"/>
          <w:szCs w:val="24"/>
        </w:rPr>
      </w:pPr>
      <w:bookmarkStart w:id="0" w:name="_GoBack"/>
      <w:bookmarkEnd w:id="0"/>
      <w:r>
        <w:rPr>
          <w:b/>
          <w:sz w:val="24"/>
          <w:szCs w:val="24"/>
        </w:rPr>
        <w:t>Interoperability Final Rule – MCO Workgroup</w:t>
      </w:r>
    </w:p>
    <w:p w:rsidR="000F544C" w:rsidRDefault="000F544C" w:rsidP="000F544C">
      <w:pPr>
        <w:spacing w:after="0" w:line="240" w:lineRule="auto"/>
        <w:jc w:val="center"/>
        <w:rPr>
          <w:b/>
          <w:sz w:val="24"/>
          <w:szCs w:val="24"/>
        </w:rPr>
      </w:pPr>
      <w:r>
        <w:rPr>
          <w:b/>
          <w:sz w:val="24"/>
          <w:szCs w:val="24"/>
        </w:rPr>
        <w:t>Question and Response Log</w:t>
      </w:r>
    </w:p>
    <w:p w:rsidR="000F544C" w:rsidRDefault="000F544C" w:rsidP="000F544C">
      <w:pPr>
        <w:spacing w:after="0" w:line="240" w:lineRule="auto"/>
        <w:jc w:val="center"/>
        <w:rPr>
          <w:b/>
          <w:sz w:val="24"/>
          <w:szCs w:val="24"/>
        </w:rPr>
      </w:pPr>
    </w:p>
    <w:p w:rsidR="000F544C" w:rsidRDefault="000F544C" w:rsidP="000F544C">
      <w:pPr>
        <w:spacing w:after="0" w:line="240" w:lineRule="auto"/>
        <w:rPr>
          <w:b/>
          <w:sz w:val="24"/>
          <w:szCs w:val="24"/>
        </w:rPr>
      </w:pPr>
    </w:p>
    <w:tbl>
      <w:tblPr>
        <w:tblStyle w:val="TableGrid"/>
        <w:tblW w:w="13428" w:type="dxa"/>
        <w:tblLook w:val="04A0" w:firstRow="1" w:lastRow="0" w:firstColumn="1" w:lastColumn="0" w:noHBand="0" w:noVBand="1"/>
      </w:tblPr>
      <w:tblGrid>
        <w:gridCol w:w="1548"/>
        <w:gridCol w:w="4140"/>
        <w:gridCol w:w="4950"/>
        <w:gridCol w:w="2790"/>
      </w:tblGrid>
      <w:tr w:rsidR="000F544C" w:rsidTr="000F544C">
        <w:tc>
          <w:tcPr>
            <w:tcW w:w="1548" w:type="dxa"/>
          </w:tcPr>
          <w:p w:rsidR="000F544C" w:rsidRPr="000F544C" w:rsidRDefault="000F544C" w:rsidP="000F544C">
            <w:pPr>
              <w:rPr>
                <w:b/>
              </w:rPr>
            </w:pPr>
            <w:r>
              <w:rPr>
                <w:b/>
              </w:rPr>
              <w:t>Date Received</w:t>
            </w:r>
          </w:p>
        </w:tc>
        <w:tc>
          <w:tcPr>
            <w:tcW w:w="4140" w:type="dxa"/>
          </w:tcPr>
          <w:p w:rsidR="000F544C" w:rsidRDefault="000F544C" w:rsidP="000F544C">
            <w:pPr>
              <w:rPr>
                <w:b/>
                <w:sz w:val="24"/>
                <w:szCs w:val="24"/>
              </w:rPr>
            </w:pPr>
            <w:r>
              <w:rPr>
                <w:b/>
                <w:sz w:val="24"/>
                <w:szCs w:val="24"/>
              </w:rPr>
              <w:t>Question</w:t>
            </w:r>
          </w:p>
        </w:tc>
        <w:tc>
          <w:tcPr>
            <w:tcW w:w="4950" w:type="dxa"/>
          </w:tcPr>
          <w:p w:rsidR="000F544C" w:rsidRDefault="000F544C" w:rsidP="000F544C">
            <w:pPr>
              <w:rPr>
                <w:b/>
                <w:sz w:val="24"/>
                <w:szCs w:val="24"/>
              </w:rPr>
            </w:pPr>
            <w:r>
              <w:rPr>
                <w:b/>
                <w:sz w:val="24"/>
                <w:szCs w:val="24"/>
              </w:rPr>
              <w:t>Response</w:t>
            </w:r>
          </w:p>
        </w:tc>
        <w:tc>
          <w:tcPr>
            <w:tcW w:w="2790" w:type="dxa"/>
          </w:tcPr>
          <w:p w:rsidR="000F544C" w:rsidRDefault="000F544C" w:rsidP="000F544C">
            <w:pPr>
              <w:rPr>
                <w:b/>
                <w:sz w:val="24"/>
                <w:szCs w:val="24"/>
              </w:rPr>
            </w:pPr>
            <w:r>
              <w:rPr>
                <w:b/>
                <w:sz w:val="24"/>
                <w:szCs w:val="24"/>
              </w:rPr>
              <w:t>Assigned To/Status</w:t>
            </w:r>
          </w:p>
        </w:tc>
      </w:tr>
      <w:tr w:rsidR="000F544C" w:rsidRPr="000F544C" w:rsidTr="000F544C">
        <w:trPr>
          <w:trHeight w:val="71"/>
        </w:trPr>
        <w:tc>
          <w:tcPr>
            <w:tcW w:w="1548" w:type="dxa"/>
            <w:shd w:val="clear" w:color="auto" w:fill="BFBFBF" w:themeFill="background1" w:themeFillShade="BF"/>
          </w:tcPr>
          <w:p w:rsidR="000F544C" w:rsidRPr="000F544C" w:rsidRDefault="000F544C" w:rsidP="000F544C"/>
        </w:tc>
        <w:tc>
          <w:tcPr>
            <w:tcW w:w="4140" w:type="dxa"/>
            <w:shd w:val="clear" w:color="auto" w:fill="BFBFBF" w:themeFill="background1" w:themeFillShade="BF"/>
          </w:tcPr>
          <w:p w:rsidR="000F544C" w:rsidRPr="000F544C" w:rsidRDefault="000F544C" w:rsidP="000F544C"/>
        </w:tc>
        <w:tc>
          <w:tcPr>
            <w:tcW w:w="4950" w:type="dxa"/>
            <w:shd w:val="clear" w:color="auto" w:fill="BFBFBF" w:themeFill="background1" w:themeFillShade="BF"/>
          </w:tcPr>
          <w:p w:rsidR="000F544C" w:rsidRPr="000F544C" w:rsidRDefault="000F544C" w:rsidP="000F544C"/>
        </w:tc>
        <w:tc>
          <w:tcPr>
            <w:tcW w:w="2790" w:type="dxa"/>
            <w:shd w:val="clear" w:color="auto" w:fill="BFBFBF" w:themeFill="background1" w:themeFillShade="BF"/>
          </w:tcPr>
          <w:p w:rsidR="000F544C" w:rsidRPr="000F544C" w:rsidRDefault="000F544C" w:rsidP="000F544C"/>
        </w:tc>
      </w:tr>
      <w:tr w:rsidR="000F544C" w:rsidRPr="000F544C" w:rsidTr="000F544C">
        <w:tc>
          <w:tcPr>
            <w:tcW w:w="1548" w:type="dxa"/>
          </w:tcPr>
          <w:p w:rsidR="000F544C" w:rsidRPr="000F544C" w:rsidRDefault="000F544C" w:rsidP="000F544C">
            <w:r>
              <w:t>7/15/2020</w:t>
            </w:r>
          </w:p>
        </w:tc>
        <w:tc>
          <w:tcPr>
            <w:tcW w:w="4140" w:type="dxa"/>
          </w:tcPr>
          <w:p w:rsidR="000F544C" w:rsidRPr="000F544C" w:rsidRDefault="000F544C" w:rsidP="000F544C">
            <w:r>
              <w:rPr>
                <w:rFonts w:ascii="Arial" w:hAnsi="Arial" w:cs="Arial"/>
                <w:color w:val="222222"/>
                <w:shd w:val="clear" w:color="auto" w:fill="FFFFFF"/>
              </w:rPr>
              <w:t>Can you confirm if your contracts have any provisions or your state has provided any guidance against the sharing of “sensitive data” in terms of diagnosis or procedure codes that are excluded from sharing?</w:t>
            </w:r>
          </w:p>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r>
              <w:t>7/15/2020</w:t>
            </w:r>
          </w:p>
        </w:tc>
        <w:tc>
          <w:tcPr>
            <w:tcW w:w="4140" w:type="dxa"/>
          </w:tcPr>
          <w:p w:rsidR="000F544C" w:rsidRPr="000F544C" w:rsidRDefault="000F544C" w:rsidP="000F544C">
            <w:r>
              <w:rPr>
                <w:rFonts w:ascii="Arial" w:hAnsi="Arial" w:cs="Arial"/>
                <w:color w:val="222222"/>
                <w:shd w:val="clear" w:color="auto" w:fill="FFFFFF"/>
              </w:rPr>
              <w:t>Will your state contracts require approval for any member portal content as it pertains to educating members about Interoperability &amp; Patient Access? If yes, please provide state approval timeframes and guidelines</w:t>
            </w:r>
          </w:p>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r>
              <w:t>7/15/2020</w:t>
            </w:r>
          </w:p>
        </w:tc>
        <w:tc>
          <w:tcPr>
            <w:tcW w:w="4140" w:type="dxa"/>
          </w:tcPr>
          <w:p w:rsidR="000F544C" w:rsidRPr="000F544C" w:rsidRDefault="000F544C" w:rsidP="00E117E4">
            <w:r>
              <w:t xml:space="preserve">Under the </w:t>
            </w:r>
            <w:r w:rsidR="00E117E4">
              <w:t xml:space="preserve">requirement </w:t>
            </w:r>
            <w:r>
              <w:t xml:space="preserve">for Patient Access </w:t>
            </w:r>
            <w:r w:rsidR="00E117E4">
              <w:t>API as</w:t>
            </w:r>
            <w:r w:rsidR="00DB5C3A">
              <w:t xml:space="preserve"> well as Care Coordination Across Payers - Data from January 1, 2016 needs to be available.  Is there a length of time that we need to support data that far back or will this need to be supported that far back indefinitely?  </w:t>
            </w:r>
          </w:p>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r w:rsidR="000F544C" w:rsidRPr="000F544C" w:rsidTr="000F544C">
        <w:tc>
          <w:tcPr>
            <w:tcW w:w="1548" w:type="dxa"/>
          </w:tcPr>
          <w:p w:rsidR="000F544C" w:rsidRPr="000F544C" w:rsidRDefault="000F544C" w:rsidP="000F544C"/>
        </w:tc>
        <w:tc>
          <w:tcPr>
            <w:tcW w:w="4140" w:type="dxa"/>
          </w:tcPr>
          <w:p w:rsidR="000F544C" w:rsidRPr="000F544C" w:rsidRDefault="000F544C" w:rsidP="000F544C"/>
        </w:tc>
        <w:tc>
          <w:tcPr>
            <w:tcW w:w="4950" w:type="dxa"/>
          </w:tcPr>
          <w:p w:rsidR="000F544C" w:rsidRPr="000F544C" w:rsidRDefault="000F544C" w:rsidP="000F544C"/>
        </w:tc>
        <w:tc>
          <w:tcPr>
            <w:tcW w:w="2790" w:type="dxa"/>
          </w:tcPr>
          <w:p w:rsidR="000F544C" w:rsidRPr="000F544C" w:rsidRDefault="000F544C" w:rsidP="000F544C"/>
        </w:tc>
      </w:tr>
    </w:tbl>
    <w:p w:rsidR="000F544C" w:rsidRPr="000F544C" w:rsidRDefault="000F544C" w:rsidP="000F544C">
      <w:pPr>
        <w:spacing w:after="0" w:line="240" w:lineRule="auto"/>
        <w:jc w:val="center"/>
        <w:rPr>
          <w:b/>
          <w:sz w:val="24"/>
          <w:szCs w:val="24"/>
        </w:rPr>
      </w:pPr>
    </w:p>
    <w:sectPr w:rsidR="000F544C" w:rsidRPr="000F544C" w:rsidSect="000F544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4C"/>
    <w:rsid w:val="00013164"/>
    <w:rsid w:val="000F544C"/>
    <w:rsid w:val="00AE6DED"/>
    <w:rsid w:val="00DB5C3A"/>
    <w:rsid w:val="00E1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 Lori</dc:creator>
  <cp:lastModifiedBy>Nieder, Julie</cp:lastModifiedBy>
  <cp:revision>2</cp:revision>
  <dcterms:created xsi:type="dcterms:W3CDTF">2020-07-17T20:11:00Z</dcterms:created>
  <dcterms:modified xsi:type="dcterms:W3CDTF">2020-07-17T20:11:00Z</dcterms:modified>
</cp:coreProperties>
</file>