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355E" w14:textId="4407A455" w:rsidR="00867615" w:rsidRDefault="00482C85" w:rsidP="00840739">
      <w:pPr>
        <w:spacing w:after="0" w:line="240" w:lineRule="auto"/>
        <w:rPr>
          <w:b/>
          <w:bCs/>
          <w:sz w:val="24"/>
          <w:szCs w:val="24"/>
          <w:u w:val="single"/>
        </w:rPr>
      </w:pPr>
      <w:r w:rsidRPr="00482C85">
        <w:rPr>
          <w:b/>
          <w:bCs/>
          <w:sz w:val="24"/>
          <w:szCs w:val="24"/>
          <w:u w:val="single"/>
        </w:rPr>
        <w:t>Health Plan Questions:</w:t>
      </w:r>
    </w:p>
    <w:p w14:paraId="743824DF" w14:textId="42A4A940" w:rsidR="00840739" w:rsidRPr="00482C85" w:rsidRDefault="00840739" w:rsidP="00840739">
      <w:pPr>
        <w:spacing w:after="0" w:line="240" w:lineRule="auto"/>
        <w:rPr>
          <w:b/>
          <w:bCs/>
          <w:sz w:val="24"/>
          <w:szCs w:val="24"/>
          <w:u w:val="single"/>
        </w:rPr>
      </w:pPr>
      <w:r>
        <w:rPr>
          <w:b/>
          <w:bCs/>
          <w:sz w:val="24"/>
          <w:szCs w:val="24"/>
          <w:u w:val="single"/>
        </w:rPr>
        <w:t>6/15/2021</w:t>
      </w:r>
    </w:p>
    <w:p w14:paraId="0EE5A162" w14:textId="4AD0928C" w:rsidR="00482C85" w:rsidRPr="007B4BCB" w:rsidRDefault="00482C85" w:rsidP="00482C85">
      <w:pPr>
        <w:numPr>
          <w:ilvl w:val="0"/>
          <w:numId w:val="1"/>
        </w:num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sidRPr="00482C85">
        <w:rPr>
          <w:rFonts w:ascii="Calibri" w:eastAsia="Times New Roman" w:hAnsi="Calibri" w:cs="Calibri"/>
          <w:color w:val="000000"/>
          <w:sz w:val="24"/>
          <w:szCs w:val="24"/>
        </w:rPr>
        <w:t>When is a referring provider required?  Request clarification on the coverage categories outlined in the FFS manual. </w:t>
      </w:r>
      <w:r w:rsidR="007B4BCB" w:rsidRPr="007B4BCB">
        <w:rPr>
          <w:rFonts w:ascii="Calibri" w:eastAsia="Times New Roman" w:hAnsi="Calibri" w:cs="Calibri"/>
          <w:color w:val="FF0000"/>
          <w:sz w:val="24"/>
          <w:szCs w:val="24"/>
        </w:rPr>
        <w:t xml:space="preserve">– FFS Manual represents FFS billing policy and MCO “default” policy in lieu of contract or policy language to the contrary.  There are technically no changes to when a referring provider is required as a result of ROPA. </w:t>
      </w:r>
    </w:p>
    <w:p w14:paraId="3E92DBA0" w14:textId="7B920E16" w:rsidR="007B4BCB" w:rsidRDefault="007B4BCB" w:rsidP="007B4BCB">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sidRPr="007B4BCB">
        <w:rPr>
          <w:rFonts w:ascii="Calibri" w:eastAsia="Times New Roman" w:hAnsi="Calibri" w:cs="Calibri"/>
          <w:color w:val="FF0000"/>
          <w:sz w:val="24"/>
          <w:szCs w:val="24"/>
        </w:rPr>
        <w:t>However, to clarify, ROPA states that whenever a referring, ordering, attending or prescribing provider is reported (regardless of if it was required or not) it must be a known provider.</w:t>
      </w:r>
    </w:p>
    <w:p w14:paraId="2D334D5E" w14:textId="320BD58B" w:rsidR="00840739" w:rsidRDefault="00840739" w:rsidP="007B4BCB">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 xml:space="preserve">Per discussion with the workgroup there are many instances (especially in BH) in the data analyzed to date, where referring or ordering providers are being submitted when not required by billing policy.  Therefore, there is a potential for provider education in the area in terms of </w:t>
      </w:r>
      <w:r w:rsidR="00902E94">
        <w:rPr>
          <w:rFonts w:ascii="Calibri" w:eastAsia="Times New Roman" w:hAnsi="Calibri" w:cs="Calibri"/>
          <w:color w:val="FF0000"/>
          <w:sz w:val="24"/>
          <w:szCs w:val="24"/>
        </w:rPr>
        <w:t>whereby</w:t>
      </w:r>
      <w:r>
        <w:rPr>
          <w:rFonts w:ascii="Calibri" w:eastAsia="Times New Roman" w:hAnsi="Calibri" w:cs="Calibri"/>
          <w:color w:val="FF0000"/>
          <w:sz w:val="24"/>
          <w:szCs w:val="24"/>
        </w:rPr>
        <w:t xml:space="preserve"> policy this information is required or not required on the claim, that would result in a decrease of ROPA gaps/potential failures.  </w:t>
      </w:r>
    </w:p>
    <w:p w14:paraId="58E6CA3B" w14:textId="77777777" w:rsidR="007B4BCB" w:rsidRPr="00482C85" w:rsidRDefault="007B4BCB" w:rsidP="007B4BCB">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p>
    <w:p w14:paraId="0AC945A1" w14:textId="62B8CA3A" w:rsidR="0064764B" w:rsidRDefault="00482C85" w:rsidP="00854C88">
      <w:pPr>
        <w:numPr>
          <w:ilvl w:val="0"/>
          <w:numId w:val="1"/>
        </w:num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sidRPr="00840739">
        <w:rPr>
          <w:rFonts w:ascii="Calibri" w:eastAsia="Times New Roman" w:hAnsi="Calibri" w:cs="Calibri"/>
          <w:color w:val="000000"/>
          <w:sz w:val="24"/>
          <w:szCs w:val="24"/>
        </w:rPr>
        <w:t>What is the state of the exception file and what ongoing updates are expected as new providers are identified? </w:t>
      </w:r>
      <w:r w:rsidR="007B4BCB" w:rsidRPr="00840739">
        <w:rPr>
          <w:rFonts w:ascii="Calibri" w:eastAsia="Times New Roman" w:hAnsi="Calibri" w:cs="Calibri"/>
          <w:color w:val="FF0000"/>
          <w:sz w:val="24"/>
          <w:szCs w:val="24"/>
        </w:rPr>
        <w:t xml:space="preserve">– We are continuing to get updates/additions almost daily, directly from Pharmacy systems, Hospital systems and licensing boards.  It is anticipated this will be an ongoing effort.  </w:t>
      </w:r>
      <w:r w:rsidR="00840739" w:rsidRPr="00840739">
        <w:rPr>
          <w:rFonts w:ascii="Calibri" w:eastAsia="Times New Roman" w:hAnsi="Calibri" w:cs="Calibri"/>
          <w:color w:val="FF0000"/>
          <w:sz w:val="24"/>
          <w:szCs w:val="24"/>
        </w:rPr>
        <w:t xml:space="preserve">We are currently updating ASAP as received and posting a current version of the Exception listing to the webpage as well as to the </w:t>
      </w:r>
      <w:proofErr w:type="spellStart"/>
      <w:r w:rsidR="00840739" w:rsidRPr="00840739">
        <w:rPr>
          <w:rFonts w:ascii="Calibri" w:eastAsia="Times New Roman" w:hAnsi="Calibri" w:cs="Calibri"/>
          <w:color w:val="FF0000"/>
          <w:sz w:val="24"/>
          <w:szCs w:val="24"/>
        </w:rPr>
        <w:t>ShareInfo</w:t>
      </w:r>
      <w:proofErr w:type="spellEnd"/>
      <w:r w:rsidR="00840739" w:rsidRPr="00840739">
        <w:rPr>
          <w:rFonts w:ascii="Calibri" w:eastAsia="Times New Roman" w:hAnsi="Calibri" w:cs="Calibri"/>
          <w:color w:val="FF0000"/>
          <w:sz w:val="24"/>
          <w:szCs w:val="24"/>
        </w:rPr>
        <w:t xml:space="preserve"> weekly.</w:t>
      </w:r>
    </w:p>
    <w:p w14:paraId="6632ED6F" w14:textId="33E80B4F" w:rsidR="00840739" w:rsidRDefault="00840739" w:rsidP="00840739">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Q15 on the ROPA webpage outlines how Exception Providers may be identified and what information is required.</w:t>
      </w:r>
    </w:p>
    <w:p w14:paraId="6806A8CB" w14:textId="667F4BCF" w:rsidR="00840739" w:rsidRPr="00840739" w:rsidRDefault="00840739" w:rsidP="00840739">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 xml:space="preserve">Future consideration to automate the updates from the various boards may be evaluated.  </w:t>
      </w:r>
    </w:p>
    <w:p w14:paraId="6D509EBE" w14:textId="77777777" w:rsidR="007B4BCB" w:rsidRPr="007B4BCB" w:rsidRDefault="007B4BCB" w:rsidP="007B4BCB">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p>
    <w:p w14:paraId="5D5EB6A0" w14:textId="3C8C2708" w:rsidR="00482C85" w:rsidRDefault="00482C85" w:rsidP="00482C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482C85">
        <w:rPr>
          <w:rFonts w:ascii="Calibri" w:eastAsia="Times New Roman" w:hAnsi="Calibri" w:cs="Calibri"/>
          <w:color w:val="000000"/>
          <w:sz w:val="24"/>
          <w:szCs w:val="24"/>
        </w:rPr>
        <w:t>Can larger groups, such as Sonora</w:t>
      </w:r>
      <w:r>
        <w:rPr>
          <w:rFonts w:ascii="Calibri" w:eastAsia="Times New Roman" w:hAnsi="Calibri" w:cs="Calibri"/>
          <w:color w:val="000000"/>
          <w:sz w:val="24"/>
          <w:szCs w:val="24"/>
        </w:rPr>
        <w:t xml:space="preserve"> </w:t>
      </w:r>
      <w:r w:rsidRPr="00482C85">
        <w:rPr>
          <w:rFonts w:ascii="Calibri" w:eastAsia="Times New Roman" w:hAnsi="Calibri" w:cs="Calibri"/>
          <w:color w:val="000000"/>
          <w:sz w:val="24"/>
          <w:szCs w:val="24"/>
        </w:rPr>
        <w:t>Quest, outreach providers?  </w:t>
      </w:r>
      <w:r w:rsidR="007B4BCB" w:rsidRPr="007B4BCB">
        <w:rPr>
          <w:rFonts w:ascii="Calibri" w:eastAsia="Times New Roman" w:hAnsi="Calibri" w:cs="Calibri"/>
          <w:color w:val="FF0000"/>
          <w:sz w:val="24"/>
          <w:szCs w:val="24"/>
        </w:rPr>
        <w:t>- Upon agreement in messaging, etc. this type of communication mechanism should be utilized</w:t>
      </w:r>
      <w:r w:rsidR="007B4BCB">
        <w:rPr>
          <w:rFonts w:ascii="Calibri" w:eastAsia="Times New Roman" w:hAnsi="Calibri" w:cs="Calibri"/>
          <w:color w:val="FF0000"/>
          <w:sz w:val="24"/>
          <w:szCs w:val="24"/>
        </w:rPr>
        <w:t>/encouraged</w:t>
      </w:r>
      <w:r w:rsidR="007B4BCB" w:rsidRPr="007B4BCB">
        <w:rPr>
          <w:rFonts w:ascii="Calibri" w:eastAsia="Times New Roman" w:hAnsi="Calibri" w:cs="Calibri"/>
          <w:color w:val="FF0000"/>
          <w:sz w:val="24"/>
          <w:szCs w:val="24"/>
        </w:rPr>
        <w:t>.</w:t>
      </w:r>
      <w:r w:rsidR="007B4BCB" w:rsidRPr="007B4BCB">
        <w:rPr>
          <w:rFonts w:ascii="Calibri" w:eastAsia="Times New Roman" w:hAnsi="Calibri" w:cs="Calibri"/>
          <w:color w:val="000000"/>
          <w:sz w:val="24"/>
          <w:szCs w:val="24"/>
        </w:rPr>
        <w:t xml:space="preserve"> </w:t>
      </w:r>
    </w:p>
    <w:p w14:paraId="67C227C9" w14:textId="4D2E7953" w:rsidR="00840739" w:rsidRPr="00840739" w:rsidRDefault="00840739" w:rsidP="00840739">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Would need to establish a unified MCO review process for this messaging, determine the definition of “large” groups</w:t>
      </w:r>
      <w:r w:rsidR="007C1985">
        <w:rPr>
          <w:rFonts w:ascii="Calibri" w:eastAsia="Times New Roman" w:hAnsi="Calibri" w:cs="Calibri"/>
          <w:color w:val="FF0000"/>
          <w:sz w:val="24"/>
          <w:szCs w:val="24"/>
        </w:rPr>
        <w:t xml:space="preserve"> (i.e. based on level of ROPA impact not necessarily the size of the provider)</w:t>
      </w:r>
      <w:r>
        <w:rPr>
          <w:rFonts w:ascii="Calibri" w:eastAsia="Times New Roman" w:hAnsi="Calibri" w:cs="Calibri"/>
          <w:color w:val="FF0000"/>
          <w:sz w:val="24"/>
          <w:szCs w:val="24"/>
        </w:rPr>
        <w:t xml:space="preserve"> you would want to engage in these efforts and identify consistently</w:t>
      </w:r>
      <w:r w:rsidR="007C1985">
        <w:rPr>
          <w:rFonts w:ascii="Calibri" w:eastAsia="Times New Roman" w:hAnsi="Calibri" w:cs="Calibri"/>
          <w:color w:val="FF0000"/>
          <w:sz w:val="24"/>
          <w:szCs w:val="24"/>
        </w:rPr>
        <w:t>; Suggestion to leverage the Health Plan Association communications subgroup to evaluate and determine next steps.</w:t>
      </w:r>
    </w:p>
    <w:p w14:paraId="79B74B15" w14:textId="77777777" w:rsidR="0064764B" w:rsidRDefault="0064764B" w:rsidP="0064764B">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p>
    <w:p w14:paraId="366E2CD1" w14:textId="77777777" w:rsidR="007B4BCB" w:rsidRDefault="007B4BCB" w:rsidP="007B4BCB">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15910D64" w14:textId="6412D884" w:rsidR="00482C85" w:rsidRPr="00902E94" w:rsidRDefault="00482C85" w:rsidP="00482C85">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482C85">
        <w:rPr>
          <w:rFonts w:ascii="Calibri" w:eastAsia="Times New Roman" w:hAnsi="Calibri" w:cs="Calibri"/>
          <w:color w:val="000000"/>
          <w:sz w:val="24"/>
          <w:szCs w:val="24"/>
        </w:rPr>
        <w:t>Will AHCCCS allow for Lab/Imaging/DME providers to not accept an order from an un-registered provider? </w:t>
      </w:r>
      <w:r w:rsidR="007B4BCB" w:rsidRPr="007B4BCB">
        <w:rPr>
          <w:rFonts w:ascii="Calibri" w:eastAsia="Times New Roman" w:hAnsi="Calibri" w:cs="Calibri"/>
          <w:color w:val="FF0000"/>
          <w:sz w:val="24"/>
          <w:szCs w:val="24"/>
        </w:rPr>
        <w:t xml:space="preserve">– As stated in the FAQ </w:t>
      </w:r>
      <w:r w:rsidR="00902E94">
        <w:rPr>
          <w:rFonts w:ascii="Calibri" w:eastAsia="Times New Roman" w:hAnsi="Calibri" w:cs="Calibri"/>
          <w:color w:val="FF0000"/>
          <w:sz w:val="24"/>
          <w:szCs w:val="24"/>
        </w:rPr>
        <w:t xml:space="preserve">#16, </w:t>
      </w:r>
      <w:r w:rsidR="007B4BCB" w:rsidRPr="007B4BCB">
        <w:rPr>
          <w:rFonts w:ascii="Calibri" w:eastAsia="Times New Roman" w:hAnsi="Calibri" w:cs="Calibri"/>
          <w:color w:val="FF0000"/>
          <w:sz w:val="24"/>
          <w:szCs w:val="24"/>
        </w:rPr>
        <w:t>yes.</w:t>
      </w:r>
    </w:p>
    <w:p w14:paraId="42091DEA" w14:textId="118EC8F4" w:rsidR="00902E94" w:rsidRDefault="00902E94" w:rsidP="00902E9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 xml:space="preserve">Discussed the understandable reluctance of providers to do this, the touchiness of turning away covered </w:t>
      </w:r>
      <w:r w:rsidR="00C00B4A">
        <w:rPr>
          <w:rFonts w:ascii="Calibri" w:eastAsia="Times New Roman" w:hAnsi="Calibri" w:cs="Calibri"/>
          <w:color w:val="FF0000"/>
          <w:sz w:val="24"/>
          <w:szCs w:val="24"/>
        </w:rPr>
        <w:t>services, and</w:t>
      </w:r>
      <w:r>
        <w:rPr>
          <w:rFonts w:ascii="Calibri" w:eastAsia="Times New Roman" w:hAnsi="Calibri" w:cs="Calibri"/>
          <w:color w:val="FF0000"/>
          <w:sz w:val="24"/>
          <w:szCs w:val="24"/>
        </w:rPr>
        <w:t xml:space="preserve"> the capacity of these providers to really track and put handling in place for this.  </w:t>
      </w:r>
    </w:p>
    <w:p w14:paraId="09BE7EC0" w14:textId="512C36E4" w:rsidR="00902E94" w:rsidRPr="0064764B" w:rsidRDefault="00902E94" w:rsidP="00902E94">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Calibri" w:eastAsia="Times New Roman" w:hAnsi="Calibri" w:cs="Calibri"/>
          <w:color w:val="FF0000"/>
          <w:sz w:val="24"/>
          <w:szCs w:val="24"/>
        </w:rPr>
        <w:t>Need to consider policy</w:t>
      </w:r>
      <w:r w:rsidR="00C00B4A">
        <w:rPr>
          <w:rFonts w:ascii="Calibri" w:eastAsia="Times New Roman" w:hAnsi="Calibri" w:cs="Calibri"/>
          <w:color w:val="FF0000"/>
          <w:sz w:val="24"/>
          <w:szCs w:val="24"/>
        </w:rPr>
        <w:t>/compliance implications for timely provision of needed/medically necessary services (i.e. DME, therapies, etc.)</w:t>
      </w:r>
    </w:p>
    <w:p w14:paraId="420CEE5E" w14:textId="77777777" w:rsidR="007B4BCB" w:rsidRPr="00482C85" w:rsidRDefault="007B4BCB" w:rsidP="007B4BCB">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78BB7311" w14:textId="625DB753" w:rsidR="00482C85" w:rsidRDefault="00482C85" w:rsidP="00482C85">
      <w:pPr>
        <w:numPr>
          <w:ilvl w:val="0"/>
          <w:numId w:val="1"/>
        </w:num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sidRPr="00482C85">
        <w:rPr>
          <w:rFonts w:ascii="Calibri" w:eastAsia="Times New Roman" w:hAnsi="Calibri" w:cs="Calibri"/>
          <w:color w:val="000000"/>
          <w:sz w:val="24"/>
          <w:szCs w:val="24"/>
        </w:rPr>
        <w:t>Request AHCCCS guidance on expectations/criteria for member communication </w:t>
      </w:r>
      <w:r w:rsidR="007B4BCB" w:rsidRPr="007B4BCB">
        <w:rPr>
          <w:rFonts w:ascii="Calibri" w:eastAsia="Times New Roman" w:hAnsi="Calibri" w:cs="Calibri"/>
          <w:color w:val="FF0000"/>
          <w:sz w:val="24"/>
          <w:szCs w:val="24"/>
        </w:rPr>
        <w:t xml:space="preserve">– Workgroup discussion </w:t>
      </w:r>
      <w:r w:rsidR="004716E6">
        <w:rPr>
          <w:rFonts w:ascii="Calibri" w:eastAsia="Times New Roman" w:hAnsi="Calibri" w:cs="Calibri"/>
          <w:color w:val="FF0000"/>
          <w:sz w:val="24"/>
          <w:szCs w:val="24"/>
        </w:rPr>
        <w:t xml:space="preserve">included </w:t>
      </w:r>
      <w:r w:rsidR="007B4BCB" w:rsidRPr="007B4BCB">
        <w:rPr>
          <w:rFonts w:ascii="Calibri" w:eastAsia="Times New Roman" w:hAnsi="Calibri" w:cs="Calibri"/>
          <w:color w:val="FF0000"/>
          <w:sz w:val="24"/>
          <w:szCs w:val="24"/>
        </w:rPr>
        <w:t>pros/cons, how to focu</w:t>
      </w:r>
      <w:r w:rsidR="004716E6">
        <w:rPr>
          <w:rFonts w:ascii="Calibri" w:eastAsia="Times New Roman" w:hAnsi="Calibri" w:cs="Calibri"/>
          <w:color w:val="FF0000"/>
          <w:sz w:val="24"/>
          <w:szCs w:val="24"/>
        </w:rPr>
        <w:t xml:space="preserve">s on impacted members only; identification of </w:t>
      </w:r>
      <w:r w:rsidR="00A67074">
        <w:rPr>
          <w:rFonts w:ascii="Calibri" w:eastAsia="Times New Roman" w:hAnsi="Calibri" w:cs="Calibri"/>
          <w:color w:val="FF0000"/>
          <w:sz w:val="24"/>
          <w:szCs w:val="24"/>
        </w:rPr>
        <w:t>whether</w:t>
      </w:r>
      <w:r w:rsidR="004716E6">
        <w:rPr>
          <w:rFonts w:ascii="Calibri" w:eastAsia="Times New Roman" w:hAnsi="Calibri" w:cs="Calibri"/>
          <w:color w:val="FF0000"/>
          <w:sz w:val="24"/>
          <w:szCs w:val="24"/>
        </w:rPr>
        <w:t xml:space="preserve"> this is really needed, how to message, </w:t>
      </w:r>
      <w:r w:rsidR="007B4BCB" w:rsidRPr="007B4BCB">
        <w:rPr>
          <w:rFonts w:ascii="Calibri" w:eastAsia="Times New Roman" w:hAnsi="Calibri" w:cs="Calibri"/>
          <w:color w:val="FF0000"/>
          <w:sz w:val="24"/>
          <w:szCs w:val="24"/>
        </w:rPr>
        <w:t xml:space="preserve">etc. </w:t>
      </w:r>
    </w:p>
    <w:p w14:paraId="446FDEC9" w14:textId="2CD7E1E5" w:rsidR="004716E6" w:rsidRPr="004716E6" w:rsidRDefault="004716E6" w:rsidP="004716E6">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sidRPr="004716E6">
        <w:rPr>
          <w:rFonts w:ascii="Calibri" w:eastAsia="Times New Roman" w:hAnsi="Calibri" w:cs="Calibri"/>
          <w:color w:val="FF0000"/>
          <w:sz w:val="24"/>
          <w:szCs w:val="24"/>
        </w:rPr>
        <w:t>Suggestion to leverage the Health Plan Association communications subgroup to evaluate and determine next steps.</w:t>
      </w:r>
    </w:p>
    <w:p w14:paraId="098FB36D" w14:textId="77777777" w:rsidR="007B4BCB" w:rsidRPr="00482C85" w:rsidRDefault="007B4BCB" w:rsidP="007B4BCB">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4A3A46CA" w14:textId="3E0DE7C1" w:rsidR="00482C85" w:rsidRDefault="00482C85" w:rsidP="00482C85">
      <w:pPr>
        <w:numPr>
          <w:ilvl w:val="0"/>
          <w:numId w:val="1"/>
        </w:num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sidRPr="00482C85">
        <w:rPr>
          <w:rFonts w:ascii="Calibri" w:eastAsia="Times New Roman" w:hAnsi="Calibri" w:cs="Calibri"/>
          <w:color w:val="000000"/>
          <w:sz w:val="24"/>
          <w:szCs w:val="24"/>
        </w:rPr>
        <w:t>Can a transition period be agreed upon, allowing plans to implement an overridable edit for a set time frame, prior to implementing hard edits?</w:t>
      </w:r>
      <w:r w:rsidR="007B4BCB">
        <w:rPr>
          <w:rFonts w:ascii="Calibri" w:eastAsia="Times New Roman" w:hAnsi="Calibri" w:cs="Calibri"/>
          <w:color w:val="000000"/>
          <w:sz w:val="24"/>
          <w:szCs w:val="24"/>
        </w:rPr>
        <w:t xml:space="preserve"> </w:t>
      </w:r>
      <w:r w:rsidR="007B4BCB" w:rsidRPr="007B4BCB">
        <w:rPr>
          <w:rFonts w:ascii="Calibri" w:eastAsia="Times New Roman" w:hAnsi="Calibri" w:cs="Calibri"/>
          <w:color w:val="FF0000"/>
          <w:sz w:val="24"/>
          <w:szCs w:val="24"/>
        </w:rPr>
        <w:t xml:space="preserve">– Yes, this should be happening now with the soft editing that should currently be in place. </w:t>
      </w:r>
    </w:p>
    <w:p w14:paraId="2279FCA6" w14:textId="5339F062" w:rsidR="007B4BCB" w:rsidRDefault="004716E6" w:rsidP="004716E6">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Pr>
          <w:rFonts w:ascii="Calibri" w:eastAsia="Times New Roman" w:hAnsi="Calibri" w:cs="Calibri"/>
          <w:color w:val="FF0000"/>
          <w:sz w:val="24"/>
          <w:szCs w:val="24"/>
        </w:rPr>
        <w:t xml:space="preserve">Workgroup discussion clarified that the MCO’s would like if </w:t>
      </w:r>
      <w:r w:rsidR="00A67074">
        <w:rPr>
          <w:rFonts w:ascii="Calibri" w:eastAsia="Times New Roman" w:hAnsi="Calibri" w:cs="Calibri"/>
          <w:color w:val="FF0000"/>
          <w:sz w:val="24"/>
          <w:szCs w:val="24"/>
        </w:rPr>
        <w:t>possible,</w:t>
      </w:r>
      <w:r>
        <w:rPr>
          <w:rFonts w:ascii="Calibri" w:eastAsia="Times New Roman" w:hAnsi="Calibri" w:cs="Calibri"/>
          <w:color w:val="FF0000"/>
          <w:sz w:val="24"/>
          <w:szCs w:val="24"/>
        </w:rPr>
        <w:t xml:space="preserve"> to receive a report for Encounters when fail the soft ROPA editing as a validation and checkpoint for their claims processing, etc.  AHCCCS agreed that we will evaluate the provision of this reporting and update the MCO’s shortly.</w:t>
      </w:r>
    </w:p>
    <w:p w14:paraId="471241FA" w14:textId="103F6798" w:rsidR="007B4BCB" w:rsidRDefault="007B4BCB" w:rsidP="007B4BCB">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p>
    <w:p w14:paraId="6B75E65E" w14:textId="25138E2D" w:rsidR="004716E6" w:rsidRDefault="004716E6" w:rsidP="007B4BCB">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p>
    <w:p w14:paraId="7A4208B8" w14:textId="525579C6" w:rsidR="004716E6" w:rsidRDefault="004716E6" w:rsidP="007B4BCB">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p>
    <w:p w14:paraId="342D6F61" w14:textId="4E16BCE5" w:rsidR="004716E6" w:rsidRDefault="004716E6" w:rsidP="007B4BCB">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p>
    <w:p w14:paraId="5959832B" w14:textId="77777777" w:rsidR="004716E6" w:rsidRPr="00482C85" w:rsidRDefault="004716E6" w:rsidP="007B4BCB">
      <w:pPr>
        <w:shd w:val="clear" w:color="auto" w:fill="FFFFFF"/>
        <w:spacing w:before="100" w:beforeAutospacing="1" w:after="100" w:afterAutospacing="1" w:line="240" w:lineRule="auto"/>
        <w:ind w:left="945"/>
        <w:rPr>
          <w:rFonts w:ascii="Calibri" w:eastAsia="Times New Roman" w:hAnsi="Calibri" w:cs="Calibri"/>
          <w:color w:val="000000"/>
          <w:sz w:val="24"/>
          <w:szCs w:val="24"/>
        </w:rPr>
      </w:pPr>
    </w:p>
    <w:p w14:paraId="2614C12B" w14:textId="78CE870C" w:rsidR="004716E6" w:rsidRPr="004716E6" w:rsidRDefault="00482C85" w:rsidP="00482C85">
      <w:pPr>
        <w:numPr>
          <w:ilvl w:val="0"/>
          <w:numId w:val="1"/>
        </w:num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sidRPr="00482C85">
        <w:rPr>
          <w:rFonts w:ascii="Calibri" w:eastAsia="Times New Roman" w:hAnsi="Calibri" w:cs="Calibri"/>
          <w:color w:val="000000"/>
          <w:sz w:val="24"/>
          <w:szCs w:val="24"/>
          <w:shd w:val="clear" w:color="auto" w:fill="FFFFFF"/>
        </w:rPr>
        <w:lastRenderedPageBreak/>
        <w:t>How is AHCCCS going to define/adjudicate emergency exceptions? </w:t>
      </w:r>
      <w:r w:rsidR="007B4BCB" w:rsidRPr="007B4BCB">
        <w:rPr>
          <w:rFonts w:ascii="Calibri" w:eastAsia="Times New Roman" w:hAnsi="Calibri" w:cs="Calibri"/>
          <w:color w:val="FF0000"/>
          <w:sz w:val="24"/>
          <w:szCs w:val="24"/>
          <w:shd w:val="clear" w:color="auto" w:fill="FFFFFF"/>
        </w:rPr>
        <w:t xml:space="preserve">– </w:t>
      </w:r>
      <w:r w:rsidR="004716E6">
        <w:rPr>
          <w:rFonts w:ascii="Calibri" w:eastAsia="Times New Roman" w:hAnsi="Calibri" w:cs="Calibri"/>
          <w:color w:val="FF0000"/>
          <w:sz w:val="24"/>
          <w:szCs w:val="24"/>
          <w:shd w:val="clear" w:color="auto" w:fill="FFFFFF"/>
        </w:rPr>
        <w:t>Workgroup discussion focused on this are and exception in general.  Unless exceptions can be easily and concretely defined, they will be difficult to operationalize especially at the Pharmacy/PBM level.  I.e. at the PBM level any “override” processes would result in inability to encounter and gaps in encounter submissions.</w:t>
      </w:r>
    </w:p>
    <w:p w14:paraId="375B2FEE" w14:textId="70C7B312" w:rsidR="00482C85" w:rsidRDefault="004716E6" w:rsidP="004716E6">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Reference was made to potential impacts of 310-V and scenarios where the member cannot pay cash.</w:t>
      </w:r>
    </w:p>
    <w:p w14:paraId="382DA0B7" w14:textId="0841BF1A" w:rsidR="00A67074" w:rsidRDefault="00A67074" w:rsidP="004716E6">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Need clarity around what is and what is not emergency for purposes of this exception.</w:t>
      </w:r>
    </w:p>
    <w:p w14:paraId="6E234E0D" w14:textId="696FAD4F" w:rsidR="00A67074" w:rsidRDefault="00A67074"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 xml:space="preserve">How are Part B requirements to be handled?  Any option to treat all Medicare secondary as an </w:t>
      </w:r>
      <w:r w:rsidR="00AE67FE">
        <w:rPr>
          <w:rFonts w:ascii="Calibri" w:eastAsia="Times New Roman" w:hAnsi="Calibri" w:cs="Calibri"/>
          <w:color w:val="FF0000"/>
          <w:sz w:val="24"/>
          <w:szCs w:val="24"/>
        </w:rPr>
        <w:t>exception</w:t>
      </w:r>
      <w:r>
        <w:rPr>
          <w:rFonts w:ascii="Calibri" w:eastAsia="Times New Roman" w:hAnsi="Calibri" w:cs="Calibri"/>
          <w:color w:val="FF0000"/>
          <w:sz w:val="24"/>
          <w:szCs w:val="24"/>
        </w:rPr>
        <w:t>?</w:t>
      </w:r>
    </w:p>
    <w:p w14:paraId="4F0F2692" w14:textId="134795D8" w:rsidR="00A67074" w:rsidRDefault="00A67074"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p>
    <w:p w14:paraId="3C4C3B0A" w14:textId="79FA3C63" w:rsidR="00A67074" w:rsidRDefault="00A67074"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OTHER ITEMS:</w:t>
      </w:r>
    </w:p>
    <w:p w14:paraId="0FEBAD43" w14:textId="314C333B" w:rsidR="00A67074" w:rsidRDefault="00AE67FE"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 xml:space="preserve">Confirmed that we should proceed with the understanding that hard editing will be Date of Service 1/1/2022 based and </w:t>
      </w:r>
      <w:bookmarkStart w:id="0" w:name="_GoBack"/>
      <w:bookmarkEnd w:id="0"/>
      <w:r>
        <w:rPr>
          <w:rFonts w:ascii="Calibri" w:eastAsia="Times New Roman" w:hAnsi="Calibri" w:cs="Calibri"/>
          <w:color w:val="FF0000"/>
          <w:sz w:val="24"/>
          <w:szCs w:val="24"/>
        </w:rPr>
        <w:t>noted that we may want to be clear about this as that time approaches on the ROPA webpage.</w:t>
      </w:r>
    </w:p>
    <w:p w14:paraId="0611536A" w14:textId="001E70CF" w:rsidR="00AE67FE" w:rsidRDefault="00AE67FE"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Out of State – Discussed whether or not the address data in NPPES is current and how many of these “re-occurring” or influx of new providers each gap run are really not out of state.  Discussed ongoing (noted) challenges that the out of state provides are inconsistent each time the gap is run and that there is a new group of providers each time (moving target).  Discussed the current volume of remaining “unknown” providers that appear to be out of state.  Noted that we are making efforts to identified ‘exception’ out of state providers based on NPPES taxonomy data.</w:t>
      </w:r>
    </w:p>
    <w:p w14:paraId="2ADA544C" w14:textId="31372B78" w:rsidR="00AE67FE" w:rsidRDefault="00AE67FE"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Should we consider some sort of exception for COVID testing which should not require a ordering provider?</w:t>
      </w:r>
    </w:p>
    <w:p w14:paraId="2C8B60F4" w14:textId="27721858" w:rsidR="00AE67FE" w:rsidRDefault="00AE67FE"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Noted that the Attending Provider inclusion was an AHCCCS decision and not noted as a requirement, therefore we may have some flexibility around it if needed.</w:t>
      </w:r>
    </w:p>
    <w:p w14:paraId="5F1CA1F6" w14:textId="760F93D9" w:rsidR="00AE67FE" w:rsidRDefault="00AE67FE"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r>
        <w:rPr>
          <w:rFonts w:ascii="Calibri" w:eastAsia="Times New Roman" w:hAnsi="Calibri" w:cs="Calibri"/>
          <w:color w:val="FF0000"/>
          <w:sz w:val="24"/>
          <w:szCs w:val="24"/>
        </w:rPr>
        <w:t xml:space="preserve">Discussed the noted UHC best practice and the feasibility of others to adopt.  “UHC PBM is providing a file of “unknown” prescriber NPI’s that UHC then validates against the NPPES data set to identify and request addition of exception providers.”  </w:t>
      </w:r>
    </w:p>
    <w:p w14:paraId="352A6FD4" w14:textId="77777777" w:rsidR="00AE67FE" w:rsidRDefault="00AE67FE" w:rsidP="00A67074">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p>
    <w:p w14:paraId="2400F994" w14:textId="77777777" w:rsidR="004716E6" w:rsidRDefault="004716E6" w:rsidP="004716E6">
      <w:pPr>
        <w:shd w:val="clear" w:color="auto" w:fill="FFFFFF"/>
        <w:spacing w:before="100" w:beforeAutospacing="1" w:after="100" w:afterAutospacing="1" w:line="240" w:lineRule="auto"/>
        <w:ind w:left="945"/>
        <w:rPr>
          <w:rFonts w:ascii="Calibri" w:eastAsia="Times New Roman" w:hAnsi="Calibri" w:cs="Calibri"/>
          <w:color w:val="FF0000"/>
          <w:sz w:val="24"/>
          <w:szCs w:val="24"/>
        </w:rPr>
      </w:pPr>
    </w:p>
    <w:p w14:paraId="69B73BD1" w14:textId="49D32AB7" w:rsidR="004716E6" w:rsidRDefault="004716E6" w:rsidP="004716E6">
      <w:pPr>
        <w:shd w:val="clear" w:color="auto" w:fill="FFFFFF"/>
        <w:spacing w:before="100" w:beforeAutospacing="1" w:after="100" w:afterAutospacing="1" w:line="240" w:lineRule="auto"/>
      </w:pPr>
      <w:r>
        <w:lastRenderedPageBreak/>
        <w:tab/>
      </w:r>
      <w:r>
        <w:tab/>
      </w:r>
    </w:p>
    <w:sectPr w:rsidR="0047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95880"/>
    <w:multiLevelType w:val="multilevel"/>
    <w:tmpl w:val="D4C8A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85"/>
    <w:rsid w:val="004716E6"/>
    <w:rsid w:val="00482C85"/>
    <w:rsid w:val="0064764B"/>
    <w:rsid w:val="007B4BCB"/>
    <w:rsid w:val="007C1985"/>
    <w:rsid w:val="00815DDF"/>
    <w:rsid w:val="00840739"/>
    <w:rsid w:val="00867615"/>
    <w:rsid w:val="00902E94"/>
    <w:rsid w:val="00A67074"/>
    <w:rsid w:val="00AE67FE"/>
    <w:rsid w:val="00C0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5312"/>
  <w15:chartTrackingRefBased/>
  <w15:docId w15:val="{0A5F8896-A34F-46D5-9E14-26CD2C23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856911">
      <w:bodyDiv w:val="1"/>
      <w:marLeft w:val="0"/>
      <w:marRight w:val="0"/>
      <w:marTop w:val="0"/>
      <w:marBottom w:val="0"/>
      <w:divBdr>
        <w:top w:val="none" w:sz="0" w:space="0" w:color="auto"/>
        <w:left w:val="none" w:sz="0" w:space="0" w:color="auto"/>
        <w:bottom w:val="none" w:sz="0" w:space="0" w:color="auto"/>
        <w:right w:val="none" w:sz="0" w:space="0" w:color="auto"/>
      </w:divBdr>
      <w:divsChild>
        <w:div w:id="755132527">
          <w:marLeft w:val="0"/>
          <w:marRight w:val="0"/>
          <w:marTop w:val="0"/>
          <w:marBottom w:val="0"/>
          <w:divBdr>
            <w:top w:val="none" w:sz="0" w:space="0" w:color="auto"/>
            <w:left w:val="none" w:sz="0" w:space="0" w:color="auto"/>
            <w:bottom w:val="none" w:sz="0" w:space="0" w:color="auto"/>
            <w:right w:val="none" w:sz="0" w:space="0" w:color="auto"/>
          </w:divBdr>
        </w:div>
        <w:div w:id="335773247">
          <w:marLeft w:val="0"/>
          <w:marRight w:val="0"/>
          <w:marTop w:val="0"/>
          <w:marBottom w:val="0"/>
          <w:divBdr>
            <w:top w:val="none" w:sz="0" w:space="0" w:color="auto"/>
            <w:left w:val="none" w:sz="0" w:space="0" w:color="auto"/>
            <w:bottom w:val="none" w:sz="0" w:space="0" w:color="auto"/>
            <w:right w:val="none" w:sz="0" w:space="0" w:color="auto"/>
          </w:divBdr>
        </w:div>
        <w:div w:id="88868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Lori</dc:creator>
  <cp:keywords/>
  <dc:description/>
  <cp:lastModifiedBy>Petre, Lori</cp:lastModifiedBy>
  <cp:revision>7</cp:revision>
  <cp:lastPrinted>2021-06-15T16:19:00Z</cp:lastPrinted>
  <dcterms:created xsi:type="dcterms:W3CDTF">2021-06-15T16:10:00Z</dcterms:created>
  <dcterms:modified xsi:type="dcterms:W3CDTF">2021-06-24T18:51:00Z</dcterms:modified>
</cp:coreProperties>
</file>