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240" w:lineRule="auto"/>
        <w:jc w:val="center"/>
        <w:rPr>
          <w:sz w:val="40"/>
          <w:szCs w:val="40"/>
        </w:rPr>
      </w:pPr>
      <w:bookmarkStart w:colFirst="0" w:colLast="0" w:name="_ggs5gfmtxgsh" w:id="0"/>
      <w:bookmarkEnd w:id="0"/>
      <w:r w:rsidDel="00000000" w:rsidR="00000000" w:rsidRPr="00000000">
        <w:rPr>
          <w:sz w:val="40"/>
          <w:szCs w:val="40"/>
          <w:rtl w:val="0"/>
        </w:rPr>
        <w:t xml:space="preserve">AHCCCS TI 2.0 </w:t>
      </w:r>
      <w:r w:rsidDel="00000000" w:rsidR="00000000" w:rsidRPr="00000000">
        <w:rPr>
          <w:sz w:val="40"/>
          <w:szCs w:val="40"/>
          <w:rtl w:val="0"/>
        </w:rPr>
        <w:t xml:space="preserve">Health Equity and HRSN Milestones: </w:t>
        <w:br w:type="textWrapping"/>
        <w:t xml:space="preserve">NCQA Health Equity Accreditation</w:t>
      </w:r>
    </w:p>
    <w:p w:rsidR="00000000" w:rsidDel="00000000" w:rsidP="00000000" w:rsidRDefault="00000000" w:rsidRPr="00000000" w14:paraId="00000002">
      <w:pPr>
        <w:spacing w:after="120" w:line="240" w:lineRule="auto"/>
        <w:rPr/>
      </w:pPr>
      <w:r w:rsidDel="00000000" w:rsidR="00000000" w:rsidRPr="00000000">
        <w:rPr>
          <w:rtl w:val="0"/>
        </w:rPr>
        <w:t xml:space="preserve">National Committee for Quality Assurance (NCQA) Health Equity Accreditation (HEA) is </w:t>
      </w:r>
      <w:r w:rsidDel="00000000" w:rsidR="00000000" w:rsidRPr="00000000">
        <w:rPr>
          <w:b w:val="1"/>
          <w:i w:val="1"/>
          <w:rtl w:val="0"/>
        </w:rPr>
        <w:t xml:space="preserve">one method</w:t>
      </w:r>
      <w:r w:rsidDel="00000000" w:rsidR="00000000" w:rsidRPr="00000000">
        <w:rPr>
          <w:b w:val="1"/>
          <w:rtl w:val="0"/>
        </w:rPr>
        <w:t xml:space="preserve"> </w:t>
      </w:r>
      <w:r w:rsidDel="00000000" w:rsidR="00000000" w:rsidRPr="00000000">
        <w:rPr>
          <w:rtl w:val="0"/>
        </w:rPr>
        <w:t xml:space="preserve">by which Arizona Health Care Cost Containment System (AHCCCS) Targeted Investments (TI) 2.0 Participants may demonstrate attainment of certain </w:t>
      </w:r>
      <w:r w:rsidDel="00000000" w:rsidR="00000000" w:rsidRPr="00000000">
        <w:rPr>
          <w:rtl w:val="0"/>
        </w:rPr>
        <w:t xml:space="preserve">TI 2.0 milestone requirements</w:t>
      </w:r>
      <w:r w:rsidDel="00000000" w:rsidR="00000000" w:rsidRPr="00000000">
        <w:rPr>
          <w:rtl w:val="0"/>
        </w:rPr>
        <w:t xml:space="preserve">.  For this reason, several of the milestone requirements reference NCQA’s </w:t>
      </w:r>
      <w:hyperlink r:id="rId6">
        <w:r w:rsidDel="00000000" w:rsidR="00000000" w:rsidRPr="00000000">
          <w:rPr>
            <w:color w:val="0563c1"/>
            <w:u w:val="single"/>
            <w:rtl w:val="0"/>
          </w:rPr>
          <w:t xml:space="preserve">Health Equity Accreditation program</w:t>
        </w:r>
      </w:hyperlink>
      <w:r w:rsidDel="00000000" w:rsidR="00000000" w:rsidRPr="00000000">
        <w:rPr>
          <w:rtl w:val="0"/>
        </w:rPr>
        <w:t xml:space="preserve">.  This appendix provides a list of the specific NCQA HEA standards that organizations must meet for each program and summarizes how the standards relate to each milestone if an organization chooses to leverage their seal to satisfy milestones. </w:t>
      </w:r>
    </w:p>
    <w:p w:rsidR="00000000" w:rsidDel="00000000" w:rsidP="00000000" w:rsidRDefault="00000000" w:rsidRPr="00000000" w14:paraId="00000003">
      <w:pPr>
        <w:spacing w:after="120" w:line="240" w:lineRule="auto"/>
        <w:rPr>
          <w:b w:val="1"/>
        </w:rPr>
      </w:pPr>
      <w:r w:rsidDel="00000000" w:rsidR="00000000" w:rsidRPr="00000000">
        <w:rPr>
          <w:b w:val="1"/>
          <w:rtl w:val="0"/>
        </w:rPr>
        <w:t xml:space="preserve">Timeline and Cost</w:t>
      </w:r>
    </w:p>
    <w:p w:rsidR="00000000" w:rsidDel="00000000" w:rsidP="00000000" w:rsidRDefault="00000000" w:rsidRPr="00000000" w14:paraId="00000004">
      <w:pPr>
        <w:spacing w:after="120" w:line="240" w:lineRule="auto"/>
        <w:rPr/>
      </w:pPr>
      <w:r w:rsidDel="00000000" w:rsidR="00000000" w:rsidRPr="00000000">
        <w:rPr>
          <w:rtl w:val="0"/>
        </w:rPr>
        <w:t xml:space="preserve">The process to achieve NCQA HEA takes roughly 9 to 12 months from application submission to NCQA’s decision, depending on the organization’s readiness.  There are </w:t>
      </w:r>
      <w:hyperlink r:id="rId7">
        <w:r w:rsidDel="00000000" w:rsidR="00000000" w:rsidRPr="00000000">
          <w:rPr>
            <w:color w:val="0563c1"/>
            <w:u w:val="single"/>
            <w:rtl w:val="0"/>
          </w:rPr>
          <w:t xml:space="preserve">two costs</w:t>
        </w:r>
      </w:hyperlink>
      <w:r w:rsidDel="00000000" w:rsidR="00000000" w:rsidRPr="00000000">
        <w:rPr>
          <w:rtl w:val="0"/>
        </w:rPr>
        <w:t xml:space="preserve"> associated with applying for the NCQA Health Equity Accreditation program – the cost of the standards and guidelines (a minimum of $320 for each program) and the web-based survey tool (a minimum of $1,100).  </w:t>
      </w:r>
      <w:r w:rsidDel="00000000" w:rsidR="00000000" w:rsidRPr="00000000">
        <w:rPr>
          <w:rtl w:val="0"/>
        </w:rPr>
        <w:t xml:space="preserve">This in addition to the operational costs associated with implementing and documenting processes to meet NCQA standards</w:t>
      </w:r>
      <w:r w:rsidDel="00000000" w:rsidR="00000000" w:rsidRPr="00000000">
        <w:rPr>
          <w:rtl w:val="0"/>
        </w:rPr>
        <w:t xml:space="preserve">. </w:t>
      </w:r>
      <w:r w:rsidDel="00000000" w:rsidR="00000000" w:rsidRPr="00000000">
        <w:rPr>
          <w:rtl w:val="0"/>
        </w:rPr>
        <w:t xml:space="preserve">AHCCCS</w:t>
      </w:r>
      <w:r w:rsidDel="00000000" w:rsidR="00000000" w:rsidRPr="00000000">
        <w:rPr>
          <w:rtl w:val="0"/>
        </w:rPr>
        <w:t xml:space="preserve"> purchased the standards and guidelines for TI 2.0 Participants that expressed interest in this opportunity before 3/15/2024. </w:t>
      </w:r>
    </w:p>
    <w:p w:rsidR="00000000" w:rsidDel="00000000" w:rsidP="00000000" w:rsidRDefault="00000000" w:rsidRPr="00000000" w14:paraId="00000005">
      <w:pPr>
        <w:spacing w:after="120" w:line="240" w:lineRule="auto"/>
        <w:rPr/>
      </w:pPr>
      <w:r w:rsidDel="00000000" w:rsidR="00000000" w:rsidRPr="00000000">
        <w:rPr>
          <w:rtl w:val="0"/>
        </w:rPr>
        <w:t xml:space="preserve">AHCCCS will pay the initial NCQA HEA survey fee for TI 2.0 participating practices that commit, before 4/5/2024, to earning the seal by 9/30/2027. AHCCCS will not pay for subsequent survey fees (e.g., result of not passing the first survey, renewing accreditation). In the event a participant fails to earn accreditation before the TI 2.0 program ends or the participating Tax ID withdraws participation, the AHCCCS-incurred expense will be deducted from the participant’s incentive payment. AHCCCS may waive this penalty in extenuating circumstances (as determined by AHCCCS). Subject to good financial standing and other eligibility criteria, TI 2.0 Participants that earn the full (3-year) NCQA HEA will be eligible for additional incentive funds in Y5. </w:t>
      </w:r>
    </w:p>
    <w:p w:rsidR="00000000" w:rsidDel="00000000" w:rsidP="00000000" w:rsidRDefault="00000000" w:rsidRPr="00000000" w14:paraId="00000006">
      <w:pPr>
        <w:spacing w:after="120" w:line="240" w:lineRule="auto"/>
        <w:rPr>
          <w:b w:val="1"/>
        </w:rPr>
      </w:pPr>
      <w:r w:rsidDel="00000000" w:rsidR="00000000" w:rsidRPr="00000000">
        <w:rPr>
          <w:b w:val="1"/>
          <w:rtl w:val="0"/>
        </w:rPr>
        <w:t xml:space="preserve">Accreditation Requirements and TI 2.0 Milestone Attainment</w:t>
      </w:r>
    </w:p>
    <w:p w:rsidR="00000000" w:rsidDel="00000000" w:rsidP="00000000" w:rsidRDefault="00000000" w:rsidRPr="00000000" w14:paraId="00000007">
      <w:pPr>
        <w:spacing w:after="120" w:line="240" w:lineRule="auto"/>
        <w:rPr/>
      </w:pPr>
      <w:r w:rsidDel="00000000" w:rsidR="00000000" w:rsidRPr="00000000">
        <w:rPr>
          <w:rtl w:val="0"/>
        </w:rPr>
        <w:t xml:space="preserve">Each accreditation program has a set of standards.  Each standard consists of two or more elements and each element consists of one or more factors. For NCQA HEA purposes, an organization can receive a score of “met”, “partially met” or “not met” for each element based on the number of factors it meets.  </w:t>
      </w:r>
    </w:p>
    <w:p w:rsidR="00000000" w:rsidDel="00000000" w:rsidP="00000000" w:rsidRDefault="00000000" w:rsidRPr="00000000" w14:paraId="00000008">
      <w:pPr>
        <w:spacing w:after="120" w:line="240" w:lineRule="auto"/>
        <w:rPr/>
      </w:pPr>
      <w:r w:rsidDel="00000000" w:rsidR="00000000" w:rsidRPr="00000000">
        <w:rPr>
          <w:rtl w:val="0"/>
        </w:rPr>
        <w:t xml:space="preserve">AHCCCS has identified which specific elements and factors organizations must complete to meet the milestone requirements. At the end of each program year, participants seeking accreditation will submit documents related to meeting these elements for AHCCCS review. AHCCCS will provide feedback to help providers update policies and procedures to satisfy NCQA’s formal review (i.e. survey) in program year 3 or year 4.  </w:t>
      </w:r>
    </w:p>
    <w:p w:rsidR="00000000" w:rsidDel="00000000" w:rsidP="00000000" w:rsidRDefault="00000000" w:rsidRPr="00000000" w14:paraId="00000009">
      <w:pPr>
        <w:spacing w:after="120" w:line="240" w:lineRule="auto"/>
        <w:rPr/>
      </w:pPr>
      <w:r w:rsidDel="00000000" w:rsidR="00000000" w:rsidRPr="00000000">
        <w:rPr>
          <w:rtl w:val="0"/>
        </w:rPr>
        <w:t xml:space="preserve">TI 2.0 Participants that seek to satisfy milestones via accreditation will need to complete more elements and factors than what AHCCCS requires. The score an organization receives for each element is associated with a specific point value.  An organization receives accreditation if it earns at least 80 percent of applicable points, provisional accreditation if it earns between 79 percent and 55 percent or more of applicable points and is denied accreditation if it earns 54 percent or less of applicable points.</w:t>
      </w:r>
    </w:p>
    <w:p w:rsidR="00000000" w:rsidDel="00000000" w:rsidP="00000000" w:rsidRDefault="00000000" w:rsidRPr="00000000" w14:paraId="0000000A">
      <w:pPr>
        <w:spacing w:after="120" w:line="240" w:lineRule="auto"/>
        <w:rPr/>
      </w:pPr>
      <w:r w:rsidDel="00000000" w:rsidR="00000000" w:rsidRPr="00000000">
        <w:rPr>
          <w:rtl w:val="0"/>
        </w:rPr>
        <w:t xml:space="preserve">NCQA HEA was initially designed for health plans and networks, so some of the standards, as indicated below, are not applicable to providers. NCQA has scaled the accreditation to be at the clinic level. While AHCCCS only requires related activities for AHCCCS Medicaid members, NCQA will consider all patients in-scope.</w:t>
      </w:r>
    </w:p>
    <w:p w:rsidR="00000000" w:rsidDel="00000000" w:rsidP="00000000" w:rsidRDefault="00000000" w:rsidRPr="00000000" w14:paraId="0000000B">
      <w:pPr>
        <w:spacing w:after="120" w:line="240" w:lineRule="auto"/>
        <w:rPr/>
      </w:pPr>
      <w:r w:rsidDel="00000000" w:rsidR="00000000" w:rsidRPr="00000000">
        <w:rPr>
          <w:rtl w:val="0"/>
        </w:rPr>
        <w:t xml:space="preserve">All stewards, NCQA included, periodically update standards and guidelines. The 2024 HEA standards will be effective with surveys started after 7/1/2024. The new standards will require more evidence of implementing documented processes, whereas the 2023 standards require evidence of having documented processes in place. Therefore, TI 2.0 Participants are strongly encouraged to submit an application to NCQA before 6/30/2024. Please contact the AHCCCS team if you are interested in this opportunity and are not on track to meet this deadline. Participants that earn accreditation with the 2024 standards before 9/30/2027 can also leverage accreditation for milestone attainment and maintain eligibility for the Year 5 incentive.</w:t>
      </w:r>
    </w:p>
    <w:p w:rsidR="00000000" w:rsidDel="00000000" w:rsidP="00000000" w:rsidRDefault="00000000" w:rsidRPr="00000000" w14:paraId="0000000C">
      <w:pPr>
        <w:spacing w:after="120" w:line="240" w:lineRule="auto"/>
        <w:rPr/>
      </w:pPr>
      <w:r w:rsidDel="00000000" w:rsidR="00000000" w:rsidRPr="00000000">
        <w:rPr>
          <w:rtl w:val="0"/>
        </w:rPr>
        <w:t xml:space="preserve">AHCCCS understands and respects that this is a business decision. Please let us know if there is anything we can provide, clarify, or otherwise to assist. Providing at the request of many TI 2.0 Participants to date, here’s a shortlist of benefits that you may choose (or not) to share with leadership:</w:t>
      </w:r>
    </w:p>
    <w:p w:rsidR="00000000" w:rsidDel="00000000" w:rsidP="00000000" w:rsidRDefault="00000000" w:rsidRPr="00000000" w14:paraId="0000000D">
      <w:pPr>
        <w:numPr>
          <w:ilvl w:val="0"/>
          <w:numId w:val="1"/>
        </w:numPr>
        <w:spacing w:after="0" w:afterAutospacing="0" w:line="240" w:lineRule="auto"/>
        <w:ind w:left="720" w:hanging="360"/>
        <w:rPr>
          <w:u w:val="none"/>
        </w:rPr>
      </w:pPr>
      <w:r w:rsidDel="00000000" w:rsidR="00000000" w:rsidRPr="00000000">
        <w:rPr>
          <w:rtl w:val="0"/>
        </w:rPr>
        <w:t xml:space="preserve">Be some of the first providers in the country to receive accreditation (I'm only aware of one other FQHC in another state and a couple FQHC cohorts)- bragging rights, and you'd be listed in another accreditation steward's directory!</w:t>
      </w:r>
    </w:p>
    <w:p w:rsidR="00000000" w:rsidDel="00000000" w:rsidP="00000000" w:rsidRDefault="00000000" w:rsidRPr="00000000" w14:paraId="0000000E">
      <w:pPr>
        <w:numPr>
          <w:ilvl w:val="0"/>
          <w:numId w:val="1"/>
        </w:numPr>
        <w:spacing w:after="0" w:afterAutospacing="0" w:line="240" w:lineRule="auto"/>
        <w:ind w:left="720" w:hanging="360"/>
      </w:pPr>
      <w:r w:rsidDel="00000000" w:rsidR="00000000" w:rsidRPr="00000000">
        <w:rPr>
          <w:rtl w:val="0"/>
        </w:rPr>
        <w:t xml:space="preserve">AHCCCS is paying for it, and there's no commitment to renewing.</w:t>
      </w:r>
    </w:p>
    <w:p w:rsidR="00000000" w:rsidDel="00000000" w:rsidP="00000000" w:rsidRDefault="00000000" w:rsidRPr="00000000" w14:paraId="0000000F">
      <w:pPr>
        <w:numPr>
          <w:ilvl w:val="0"/>
          <w:numId w:val="1"/>
        </w:numPr>
        <w:spacing w:after="0" w:afterAutospacing="0" w:line="240" w:lineRule="auto"/>
        <w:ind w:left="720" w:hanging="360"/>
      </w:pPr>
      <w:r w:rsidDel="00000000" w:rsidR="00000000" w:rsidRPr="00000000">
        <w:rPr>
          <w:rtl w:val="0"/>
        </w:rPr>
        <w:t xml:space="preserve">Reduces milestone- specific administrative burden by automatically satisfying some of the AHCCCS TI milestones- e.g., entities on track to earn accreditation will not need to conduct random sampling in later years. </w:t>
      </w:r>
    </w:p>
    <w:p w:rsidR="00000000" w:rsidDel="00000000" w:rsidP="00000000" w:rsidRDefault="00000000" w:rsidRPr="00000000" w14:paraId="00000010">
      <w:pPr>
        <w:numPr>
          <w:ilvl w:val="0"/>
          <w:numId w:val="1"/>
        </w:numPr>
        <w:spacing w:after="0" w:afterAutospacing="0" w:line="240" w:lineRule="auto"/>
        <w:ind w:left="720" w:hanging="360"/>
        <w:rPr>
          <w:u w:val="none"/>
        </w:rPr>
      </w:pPr>
      <w:r w:rsidDel="00000000" w:rsidR="00000000" w:rsidRPr="00000000">
        <w:rPr>
          <w:rtl w:val="0"/>
        </w:rPr>
        <w:t xml:space="preserve">Closer coordination with Plans and subcontracted networks (e.g., ACOs and CINs, if applicable) to optimize related activities.</w:t>
      </w:r>
    </w:p>
    <w:p w:rsidR="00000000" w:rsidDel="00000000" w:rsidP="00000000" w:rsidRDefault="00000000" w:rsidRPr="00000000" w14:paraId="00000011">
      <w:pPr>
        <w:numPr>
          <w:ilvl w:val="0"/>
          <w:numId w:val="1"/>
        </w:numPr>
        <w:spacing w:after="0" w:afterAutospacing="0" w:line="240" w:lineRule="auto"/>
        <w:ind w:left="720" w:hanging="360"/>
      </w:pPr>
      <w:r w:rsidDel="00000000" w:rsidR="00000000" w:rsidRPr="00000000">
        <w:rPr>
          <w:rtl w:val="0"/>
        </w:rPr>
        <w:t xml:space="preserve">Potential to improve appeal for health-equity related value-based-contracting with health plans. Although no AHCCCS health plans have fully committed to this to date, I think it’s inevitable given their requirement to earn and maintain HEA (which requires demonstration of how the accredited entity works with providers to address inequities in future cycles).</w:t>
      </w:r>
    </w:p>
    <w:p w:rsidR="00000000" w:rsidDel="00000000" w:rsidP="00000000" w:rsidRDefault="00000000" w:rsidRPr="00000000" w14:paraId="00000012">
      <w:pPr>
        <w:numPr>
          <w:ilvl w:val="0"/>
          <w:numId w:val="1"/>
        </w:numPr>
        <w:spacing w:after="0" w:afterAutospacing="0" w:line="240" w:lineRule="auto"/>
        <w:ind w:left="720" w:hanging="360"/>
        <w:rPr>
          <w:u w:val="none"/>
        </w:rPr>
      </w:pPr>
      <w:r w:rsidDel="00000000" w:rsidR="00000000" w:rsidRPr="00000000">
        <w:rPr>
          <w:rtl w:val="0"/>
        </w:rPr>
        <w:t xml:space="preserve">For those already accredited under another steward and/or program:</w:t>
      </w:r>
    </w:p>
    <w:p w:rsidR="00000000" w:rsidDel="00000000" w:rsidP="00000000" w:rsidRDefault="00000000" w:rsidRPr="00000000" w14:paraId="00000013">
      <w:pPr>
        <w:numPr>
          <w:ilvl w:val="1"/>
          <w:numId w:val="1"/>
        </w:numPr>
        <w:spacing w:after="0" w:afterAutospacing="0" w:line="240" w:lineRule="auto"/>
        <w:ind w:left="1440" w:hanging="360"/>
        <w:rPr>
          <w:u w:val="none"/>
        </w:rPr>
      </w:pPr>
      <w:r w:rsidDel="00000000" w:rsidR="00000000" w:rsidRPr="00000000">
        <w:rPr>
          <w:rtl w:val="0"/>
        </w:rPr>
        <w:t xml:space="preserve">Likely closely aligned with existing accredited programs, so relatively less effort to update policies to NCQA standards.</w:t>
      </w:r>
    </w:p>
    <w:p w:rsidR="00000000" w:rsidDel="00000000" w:rsidP="00000000" w:rsidRDefault="00000000" w:rsidRPr="00000000" w14:paraId="00000014">
      <w:pPr>
        <w:numPr>
          <w:ilvl w:val="1"/>
          <w:numId w:val="1"/>
        </w:numPr>
        <w:spacing w:after="0" w:afterAutospacing="0" w:line="240" w:lineRule="auto"/>
        <w:ind w:left="1440" w:hanging="360"/>
        <w:rPr>
          <w:u w:val="none"/>
        </w:rPr>
      </w:pPr>
      <w:r w:rsidDel="00000000" w:rsidR="00000000" w:rsidRPr="00000000">
        <w:rPr>
          <w:rtl w:val="0"/>
        </w:rPr>
        <w:t xml:space="preserve">Prior experience with accreditation-in-general will reduce the level of effort, as these entities are already familiar with providing/updating policies and having them scrutinized. </w:t>
      </w:r>
    </w:p>
    <w:p w:rsidR="00000000" w:rsidDel="00000000" w:rsidP="00000000" w:rsidRDefault="00000000" w:rsidRPr="00000000" w14:paraId="00000015">
      <w:pPr>
        <w:numPr>
          <w:ilvl w:val="0"/>
          <w:numId w:val="1"/>
        </w:numPr>
        <w:spacing w:after="0" w:afterAutospacing="0" w:line="240" w:lineRule="auto"/>
        <w:ind w:left="720" w:hanging="360"/>
        <w:rPr>
          <w:u w:val="none"/>
        </w:rPr>
      </w:pPr>
      <w:r w:rsidDel="00000000" w:rsidR="00000000" w:rsidRPr="00000000">
        <w:rPr>
          <w:rtl w:val="0"/>
        </w:rPr>
        <w:t xml:space="preserve">Most stringent review of policies to ensure you're including critical components to effectively and efficiently improve the lives and healthcare experience of your patients.  To demonstrate the spectrum: </w:t>
      </w:r>
    </w:p>
    <w:p w:rsidR="00000000" w:rsidDel="00000000" w:rsidP="00000000" w:rsidRDefault="00000000" w:rsidRPr="00000000" w14:paraId="00000016">
      <w:pPr>
        <w:numPr>
          <w:ilvl w:val="1"/>
          <w:numId w:val="1"/>
        </w:numPr>
        <w:spacing w:after="0" w:afterAutospacing="0" w:line="240" w:lineRule="auto"/>
        <w:ind w:left="1440" w:hanging="360"/>
        <w:rPr>
          <w:u w:val="none"/>
        </w:rPr>
      </w:pPr>
      <w:r w:rsidDel="00000000" w:rsidR="00000000" w:rsidRPr="00000000">
        <w:rPr>
          <w:rtl w:val="0"/>
        </w:rPr>
        <w:t xml:space="preserve">AHCCCS DAP incentive is generally tied to use of systems (e.g., participation in Community Cares) with little specification on how to use it.</w:t>
      </w:r>
    </w:p>
    <w:p w:rsidR="00000000" w:rsidDel="00000000" w:rsidP="00000000" w:rsidRDefault="00000000" w:rsidRPr="00000000" w14:paraId="00000017">
      <w:pPr>
        <w:numPr>
          <w:ilvl w:val="1"/>
          <w:numId w:val="1"/>
        </w:numPr>
        <w:spacing w:after="0" w:afterAutospacing="0" w:line="240" w:lineRule="auto"/>
        <w:ind w:left="1440" w:hanging="360"/>
        <w:rPr>
          <w:u w:val="none"/>
        </w:rPr>
      </w:pPr>
      <w:r w:rsidDel="00000000" w:rsidR="00000000" w:rsidRPr="00000000">
        <w:rPr>
          <w:rtl w:val="0"/>
        </w:rPr>
        <w:t xml:space="preserve">AHCCCS TI 2.0 aligns with DAP in the general use of the system with additional  granular requirements in how to optimize processes  (e.g., identifying staff that can update practice information and pull reports from ComCares, procedures to discuss consent with patients). </w:t>
      </w:r>
    </w:p>
    <w:p w:rsidR="00000000" w:rsidDel="00000000" w:rsidP="00000000" w:rsidRDefault="00000000" w:rsidRPr="00000000" w14:paraId="00000018">
      <w:pPr>
        <w:numPr>
          <w:ilvl w:val="1"/>
          <w:numId w:val="1"/>
        </w:numPr>
        <w:spacing w:after="120" w:line="240" w:lineRule="auto"/>
        <w:ind w:left="1440" w:hanging="360"/>
        <w:rPr>
          <w:u w:val="none"/>
        </w:rPr>
      </w:pPr>
      <w:r w:rsidDel="00000000" w:rsidR="00000000" w:rsidRPr="00000000">
        <w:rPr>
          <w:rtl w:val="0"/>
        </w:rPr>
        <w:t xml:space="preserve">NCQA HEA takes the TI granular requirements to another level with national SME review (e.g., procedures to push communications that inform patients of privacy protections and consent).</w:t>
      </w:r>
    </w:p>
    <w:p w:rsidR="00000000" w:rsidDel="00000000" w:rsidP="00000000" w:rsidRDefault="00000000" w:rsidRPr="00000000" w14:paraId="00000019">
      <w:pPr>
        <w:spacing w:after="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0" w:line="240" w:lineRule="auto"/>
        <w:rPr>
          <w:b w:val="1"/>
          <w:i w:val="1"/>
        </w:rPr>
      </w:pPr>
      <w:r w:rsidDel="00000000" w:rsidR="00000000" w:rsidRPr="00000000">
        <w:rPr>
          <w:b w:val="1"/>
          <w:i w:val="1"/>
          <w:rtl w:val="0"/>
        </w:rPr>
        <w:t xml:space="preserve">2023 NCQA Health Equity Accreditation Standards</w:t>
      </w:r>
    </w:p>
    <w:p w:rsidR="00000000" w:rsidDel="00000000" w:rsidP="00000000" w:rsidRDefault="00000000" w:rsidRPr="00000000" w14:paraId="0000001B">
      <w:pPr>
        <w:spacing w:after="0" w:line="240" w:lineRule="auto"/>
        <w:rPr>
          <w:b w:val="1"/>
          <w:i w:val="1"/>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4140"/>
        <w:gridCol w:w="1890"/>
        <w:gridCol w:w="2155"/>
        <w:tblGridChange w:id="0">
          <w:tblGrid>
            <w:gridCol w:w="1165"/>
            <w:gridCol w:w="4140"/>
            <w:gridCol w:w="1890"/>
            <w:gridCol w:w="2155"/>
          </w:tblGrid>
        </w:tblGridChange>
      </w:tblGrid>
      <w:tr>
        <w:trPr>
          <w:cantSplit w:val="0"/>
          <w:tblHeader w:val="0"/>
        </w:trPr>
        <w:tc>
          <w:tcPr>
            <w:shd w:fill="d9e2f3" w:val="clear"/>
            <w:vAlign w:val="center"/>
          </w:tcPr>
          <w:p w:rsidR="00000000" w:rsidDel="00000000" w:rsidP="00000000" w:rsidRDefault="00000000" w:rsidRPr="00000000" w14:paraId="0000001C">
            <w:pPr>
              <w:rPr>
                <w:b w:val="1"/>
              </w:rPr>
            </w:pPr>
            <w:r w:rsidDel="00000000" w:rsidR="00000000" w:rsidRPr="00000000">
              <w:rPr>
                <w:b w:val="1"/>
                <w:rtl w:val="0"/>
              </w:rPr>
              <w:t xml:space="preserve">Number/ Element</w:t>
            </w:r>
          </w:p>
        </w:tc>
        <w:tc>
          <w:tcPr>
            <w:shd w:fill="d9e2f3" w:val="clear"/>
            <w:vAlign w:val="center"/>
          </w:tcPr>
          <w:p w:rsidR="00000000" w:rsidDel="00000000" w:rsidP="00000000" w:rsidRDefault="00000000" w:rsidRPr="00000000" w14:paraId="0000001D">
            <w:pPr>
              <w:rPr>
                <w:b w:val="1"/>
              </w:rPr>
            </w:pPr>
            <w:r w:rsidDel="00000000" w:rsidR="00000000" w:rsidRPr="00000000">
              <w:rPr>
                <w:b w:val="1"/>
                <w:rtl w:val="0"/>
              </w:rPr>
              <w:t xml:space="preserve">Standard/ Element</w:t>
            </w:r>
          </w:p>
        </w:tc>
        <w:tc>
          <w:tcPr>
            <w:shd w:fill="d9e2f3" w:val="clear"/>
            <w:vAlign w:val="center"/>
          </w:tcPr>
          <w:p w:rsidR="00000000" w:rsidDel="00000000" w:rsidP="00000000" w:rsidRDefault="00000000" w:rsidRPr="00000000" w14:paraId="0000001E">
            <w:pPr>
              <w:rPr>
                <w:b w:val="1"/>
              </w:rPr>
            </w:pPr>
            <w:r w:rsidDel="00000000" w:rsidR="00000000" w:rsidRPr="00000000">
              <w:rPr>
                <w:b w:val="1"/>
                <w:rtl w:val="0"/>
              </w:rPr>
              <w:t xml:space="preserve">Relevant TI 2.0 Milestone</w:t>
            </w:r>
          </w:p>
        </w:tc>
        <w:tc>
          <w:tcPr>
            <w:shd w:fill="d9e2f3" w:val="clear"/>
            <w:vAlign w:val="center"/>
          </w:tcPr>
          <w:p w:rsidR="00000000" w:rsidDel="00000000" w:rsidP="00000000" w:rsidRDefault="00000000" w:rsidRPr="00000000" w14:paraId="0000001F">
            <w:pPr>
              <w:rPr>
                <w:b w:val="1"/>
              </w:rPr>
            </w:pPr>
            <w:r w:rsidDel="00000000" w:rsidR="00000000" w:rsidRPr="00000000">
              <w:rPr>
                <w:b w:val="1"/>
                <w:rtl w:val="0"/>
              </w:rPr>
              <w:t xml:space="preserve">Deadline</w:t>
            </w:r>
          </w:p>
        </w:tc>
      </w:tr>
      <w:tr>
        <w:trPr>
          <w:cantSplit w:val="0"/>
          <w:tblHeader w:val="0"/>
        </w:trPr>
        <w:tc>
          <w:tcPr>
            <w:shd w:fill="f2f2f2" w:val="clear"/>
          </w:tcPr>
          <w:p w:rsidR="00000000" w:rsidDel="00000000" w:rsidP="00000000" w:rsidRDefault="00000000" w:rsidRPr="00000000" w14:paraId="00000020">
            <w:pPr>
              <w:rPr>
                <w:b w:val="1"/>
              </w:rPr>
            </w:pPr>
            <w:r w:rsidDel="00000000" w:rsidR="00000000" w:rsidRPr="00000000">
              <w:rPr>
                <w:b w:val="1"/>
                <w:rtl w:val="0"/>
              </w:rPr>
              <w:t xml:space="preserve">1</w:t>
            </w:r>
          </w:p>
        </w:tc>
        <w:tc>
          <w:tcPr>
            <w:gridSpan w:val="3"/>
            <w:shd w:fill="f2f2f2" w:val="clear"/>
          </w:tcPr>
          <w:p w:rsidR="00000000" w:rsidDel="00000000" w:rsidP="00000000" w:rsidRDefault="00000000" w:rsidRPr="00000000" w14:paraId="00000021">
            <w:pPr>
              <w:rPr>
                <w:b w:val="1"/>
              </w:rPr>
            </w:pPr>
            <w:r w:rsidDel="00000000" w:rsidR="00000000" w:rsidRPr="00000000">
              <w:rPr>
                <w:b w:val="1"/>
                <w:color w:val="000000"/>
                <w:rtl w:val="0"/>
              </w:rPr>
              <w:t xml:space="preserve">Organizational Readiness</w:t>
            </w:r>
            <w:r w:rsidDel="00000000" w:rsidR="00000000" w:rsidRPr="00000000">
              <w:rPr>
                <w:rtl w:val="0"/>
              </w:rPr>
            </w:r>
          </w:p>
        </w:tc>
      </w:tr>
      <w:tr>
        <w:trPr>
          <w:cantSplit w:val="0"/>
          <w:tblHeader w:val="0"/>
        </w:trPr>
        <w:tc>
          <w:tcPr/>
          <w:p w:rsidR="00000000" w:rsidDel="00000000" w:rsidP="00000000" w:rsidRDefault="00000000" w:rsidRPr="00000000" w14:paraId="00000024">
            <w:pPr>
              <w:rPr/>
            </w:pPr>
            <w:r w:rsidDel="00000000" w:rsidR="00000000" w:rsidRPr="00000000">
              <w:rPr>
                <w:rtl w:val="0"/>
              </w:rPr>
              <w:t xml:space="preserve">1.A</w:t>
            </w:r>
          </w:p>
        </w:tc>
        <w:tc>
          <w:tcPr/>
          <w:p w:rsidR="00000000" w:rsidDel="00000000" w:rsidP="00000000" w:rsidRDefault="00000000" w:rsidRPr="00000000" w14:paraId="00000025">
            <w:pPr>
              <w:rPr/>
            </w:pPr>
            <w:r w:rsidDel="00000000" w:rsidR="00000000" w:rsidRPr="00000000">
              <w:rPr>
                <w:color w:val="000000"/>
                <w:rtl w:val="0"/>
              </w:rPr>
              <w:t xml:space="preserve">Building a Diverse Staff</w:t>
            </w: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t xml:space="preserve">2</w:t>
            </w:r>
          </w:p>
        </w:tc>
        <w:tc>
          <w:tcPr/>
          <w:p w:rsidR="00000000" w:rsidDel="00000000" w:rsidP="00000000" w:rsidRDefault="00000000" w:rsidRPr="00000000" w14:paraId="00000027">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1.B</w:t>
            </w:r>
          </w:p>
        </w:tc>
        <w:tc>
          <w:tcPr/>
          <w:p w:rsidR="00000000" w:rsidDel="00000000" w:rsidP="00000000" w:rsidRDefault="00000000" w:rsidRPr="00000000" w14:paraId="00000029">
            <w:pPr>
              <w:rPr/>
            </w:pPr>
            <w:r w:rsidDel="00000000" w:rsidR="00000000" w:rsidRPr="00000000">
              <w:rPr>
                <w:color w:val="000000"/>
                <w:rtl w:val="0"/>
              </w:rPr>
              <w:t xml:space="preserve">Promoting Diversity, Equity and Inclusion Among Staff</w:t>
            </w: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t xml:space="preserve">2</w:t>
            </w:r>
          </w:p>
        </w:tc>
        <w:tc>
          <w:tcPr/>
          <w:p w:rsidR="00000000" w:rsidDel="00000000" w:rsidP="00000000" w:rsidRDefault="00000000" w:rsidRPr="00000000" w14:paraId="0000002B">
            <w:pPr>
              <w:rPr/>
            </w:pPr>
            <w:r w:rsidDel="00000000" w:rsidR="00000000" w:rsidRPr="00000000">
              <w:rPr>
                <w:sz w:val="24"/>
                <w:szCs w:val="24"/>
                <w:rtl w:val="0"/>
              </w:rPr>
              <w:t xml:space="preserve">September </w:t>
            </w:r>
            <w:r w:rsidDel="00000000" w:rsidR="00000000" w:rsidRPr="00000000">
              <w:rPr>
                <w:rtl w:val="0"/>
              </w:rPr>
              <w:t xml:space="preserve">30, 2024</w:t>
            </w:r>
          </w:p>
        </w:tc>
      </w:tr>
      <w:tr>
        <w:trPr>
          <w:cantSplit w:val="0"/>
          <w:tblHeader w:val="0"/>
        </w:trPr>
        <w:tc>
          <w:tcPr>
            <w:shd w:fill="f2f2f2" w:val="clear"/>
          </w:tcPr>
          <w:p w:rsidR="00000000" w:rsidDel="00000000" w:rsidP="00000000" w:rsidRDefault="00000000" w:rsidRPr="00000000" w14:paraId="0000002C">
            <w:pPr>
              <w:rPr>
                <w:b w:val="1"/>
              </w:rPr>
            </w:pPr>
            <w:r w:rsidDel="00000000" w:rsidR="00000000" w:rsidRPr="00000000">
              <w:rPr>
                <w:b w:val="1"/>
                <w:rtl w:val="0"/>
              </w:rPr>
              <w:t xml:space="preserve">2</w:t>
            </w:r>
          </w:p>
        </w:tc>
        <w:tc>
          <w:tcPr>
            <w:gridSpan w:val="3"/>
            <w:shd w:fill="f2f2f2" w:val="clear"/>
          </w:tcPr>
          <w:p w:rsidR="00000000" w:rsidDel="00000000" w:rsidP="00000000" w:rsidRDefault="00000000" w:rsidRPr="00000000" w14:paraId="0000002D">
            <w:pPr>
              <w:rPr>
                <w:b w:val="1"/>
              </w:rPr>
            </w:pPr>
            <w:r w:rsidDel="00000000" w:rsidR="00000000" w:rsidRPr="00000000">
              <w:rPr>
                <w:b w:val="1"/>
                <w:color w:val="000000"/>
                <w:rtl w:val="0"/>
              </w:rPr>
              <w:t xml:space="preserve">Race/Ethnicity, Language, Gender Identity and Sexual Orientation Data</w:t>
            </w:r>
            <w:r w:rsidDel="00000000" w:rsidR="00000000" w:rsidRPr="00000000">
              <w:rPr>
                <w:rtl w:val="0"/>
              </w:rPr>
            </w:r>
          </w:p>
        </w:tc>
      </w:tr>
      <w:tr>
        <w:trPr>
          <w:cantSplit w:val="0"/>
          <w:tblHeader w:val="0"/>
        </w:trPr>
        <w:tc>
          <w:tcPr/>
          <w:p w:rsidR="00000000" w:rsidDel="00000000" w:rsidP="00000000" w:rsidRDefault="00000000" w:rsidRPr="00000000" w14:paraId="00000030">
            <w:pPr>
              <w:rPr/>
            </w:pPr>
            <w:r w:rsidDel="00000000" w:rsidR="00000000" w:rsidRPr="00000000">
              <w:rPr>
                <w:rtl w:val="0"/>
              </w:rPr>
              <w:t xml:space="preserve">2.A</w:t>
            </w:r>
          </w:p>
        </w:tc>
        <w:tc>
          <w:tcPr/>
          <w:p w:rsidR="00000000" w:rsidDel="00000000" w:rsidP="00000000" w:rsidRDefault="00000000" w:rsidRPr="00000000" w14:paraId="00000031">
            <w:pPr>
              <w:rPr/>
            </w:pPr>
            <w:r w:rsidDel="00000000" w:rsidR="00000000" w:rsidRPr="00000000">
              <w:rPr>
                <w:color w:val="000000"/>
                <w:rtl w:val="0"/>
              </w:rPr>
              <w:t xml:space="preserve">Systems for Individual-Level Data</w:t>
            </w: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t xml:space="preserve">5</w:t>
            </w:r>
          </w:p>
        </w:tc>
        <w:tc>
          <w:tcPr/>
          <w:p w:rsidR="00000000" w:rsidDel="00000000" w:rsidP="00000000" w:rsidRDefault="00000000" w:rsidRPr="00000000" w14:paraId="00000033">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34">
            <w:pPr>
              <w:rPr/>
            </w:pPr>
            <w:r w:rsidDel="00000000" w:rsidR="00000000" w:rsidRPr="00000000">
              <w:rPr>
                <w:rtl w:val="0"/>
              </w:rPr>
              <w:t xml:space="preserve">2.B</w:t>
            </w:r>
          </w:p>
        </w:tc>
        <w:tc>
          <w:tcPr/>
          <w:p w:rsidR="00000000" w:rsidDel="00000000" w:rsidP="00000000" w:rsidRDefault="00000000" w:rsidRPr="00000000" w14:paraId="00000035">
            <w:pPr>
              <w:rPr>
                <w:color w:val="000000"/>
              </w:rPr>
            </w:pPr>
            <w:r w:rsidDel="00000000" w:rsidR="00000000" w:rsidRPr="00000000">
              <w:rPr>
                <w:color w:val="000000"/>
                <w:rtl w:val="0"/>
              </w:rPr>
              <w:t xml:space="preserve">Collection of Data on Race/Ethnicity</w:t>
            </w:r>
          </w:p>
          <w:p w:rsidR="00000000" w:rsidDel="00000000" w:rsidP="00000000" w:rsidRDefault="00000000" w:rsidRPr="00000000" w14:paraId="00000036">
            <w:pPr>
              <w:rPr/>
            </w:pPr>
            <w:r w:rsidDel="00000000" w:rsidR="00000000" w:rsidRPr="00000000">
              <w:rPr>
                <w:rtl w:val="0"/>
              </w:rPr>
              <w:t xml:space="preserve">(Factor 5 only applicable to health plans)</w:t>
            </w:r>
          </w:p>
        </w:tc>
        <w:tc>
          <w:tcPr/>
          <w:p w:rsidR="00000000" w:rsidDel="00000000" w:rsidP="00000000" w:rsidRDefault="00000000" w:rsidRPr="00000000" w14:paraId="00000037">
            <w:pPr>
              <w:rPr/>
            </w:pPr>
            <w:r w:rsidDel="00000000" w:rsidR="00000000" w:rsidRPr="00000000">
              <w:rPr>
                <w:rtl w:val="0"/>
              </w:rPr>
              <w:t xml:space="preserve">5 (Factor 1)</w:t>
            </w:r>
          </w:p>
        </w:tc>
        <w:tc>
          <w:tcPr/>
          <w:p w:rsidR="00000000" w:rsidDel="00000000" w:rsidP="00000000" w:rsidRDefault="00000000" w:rsidRPr="00000000" w14:paraId="00000038">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39">
            <w:pPr>
              <w:rPr/>
            </w:pPr>
            <w:r w:rsidDel="00000000" w:rsidR="00000000" w:rsidRPr="00000000">
              <w:rPr>
                <w:rtl w:val="0"/>
              </w:rPr>
              <w:t xml:space="preserve">2.C</w:t>
            </w:r>
          </w:p>
        </w:tc>
        <w:tc>
          <w:tcPr/>
          <w:p w:rsidR="00000000" w:rsidDel="00000000" w:rsidP="00000000" w:rsidRDefault="00000000" w:rsidRPr="00000000" w14:paraId="0000003A">
            <w:pPr>
              <w:rPr>
                <w:color w:val="000000"/>
              </w:rPr>
            </w:pPr>
            <w:r w:rsidDel="00000000" w:rsidR="00000000" w:rsidRPr="00000000">
              <w:rPr>
                <w:color w:val="000000"/>
                <w:rtl w:val="0"/>
              </w:rPr>
              <w:t xml:space="preserve">Collection of Data on Language</w:t>
            </w:r>
          </w:p>
          <w:p w:rsidR="00000000" w:rsidDel="00000000" w:rsidP="00000000" w:rsidRDefault="00000000" w:rsidRPr="00000000" w14:paraId="0000003B">
            <w:pPr>
              <w:rPr/>
            </w:pPr>
            <w:r w:rsidDel="00000000" w:rsidR="00000000" w:rsidRPr="00000000">
              <w:rPr>
                <w:rtl w:val="0"/>
              </w:rPr>
              <w:t xml:space="preserve">(Factor 5 only applicable to health plans)</w:t>
            </w:r>
          </w:p>
        </w:tc>
        <w:tc>
          <w:tcPr/>
          <w:p w:rsidR="00000000" w:rsidDel="00000000" w:rsidP="00000000" w:rsidRDefault="00000000" w:rsidRPr="00000000" w14:paraId="0000003C">
            <w:pPr>
              <w:rPr/>
            </w:pPr>
            <w:r w:rsidDel="00000000" w:rsidR="00000000" w:rsidRPr="00000000">
              <w:rPr>
                <w:rtl w:val="0"/>
              </w:rPr>
              <w:t xml:space="preserve">5 (Factor 1)</w:t>
            </w:r>
          </w:p>
        </w:tc>
        <w:tc>
          <w:tcPr/>
          <w:p w:rsidR="00000000" w:rsidDel="00000000" w:rsidP="00000000" w:rsidRDefault="00000000" w:rsidRPr="00000000" w14:paraId="0000003D">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3E">
            <w:pPr>
              <w:rPr/>
            </w:pPr>
            <w:r w:rsidDel="00000000" w:rsidR="00000000" w:rsidRPr="00000000">
              <w:rPr>
                <w:rtl w:val="0"/>
              </w:rPr>
              <w:t xml:space="preserve">2.D</w:t>
            </w:r>
          </w:p>
        </w:tc>
        <w:tc>
          <w:tcPr/>
          <w:p w:rsidR="00000000" w:rsidDel="00000000" w:rsidP="00000000" w:rsidRDefault="00000000" w:rsidRPr="00000000" w14:paraId="0000003F">
            <w:pPr>
              <w:rPr/>
            </w:pPr>
            <w:r w:rsidDel="00000000" w:rsidR="00000000" w:rsidRPr="00000000">
              <w:rPr>
                <w:color w:val="000000"/>
                <w:rtl w:val="0"/>
              </w:rPr>
              <w:t xml:space="preserve">Collection of Data on Gender Identity</w:t>
            </w: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t xml:space="preserve">5</w:t>
            </w:r>
          </w:p>
        </w:tc>
        <w:tc>
          <w:tcPr/>
          <w:p w:rsidR="00000000" w:rsidDel="00000000" w:rsidP="00000000" w:rsidRDefault="00000000" w:rsidRPr="00000000" w14:paraId="00000041">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42">
            <w:pPr>
              <w:rPr/>
            </w:pPr>
            <w:r w:rsidDel="00000000" w:rsidR="00000000" w:rsidRPr="00000000">
              <w:rPr>
                <w:rtl w:val="0"/>
              </w:rPr>
              <w:t xml:space="preserve">2.E</w:t>
            </w:r>
          </w:p>
        </w:tc>
        <w:tc>
          <w:tcPr/>
          <w:p w:rsidR="00000000" w:rsidDel="00000000" w:rsidP="00000000" w:rsidRDefault="00000000" w:rsidRPr="00000000" w14:paraId="00000043">
            <w:pPr>
              <w:rPr/>
            </w:pPr>
            <w:r w:rsidDel="00000000" w:rsidR="00000000" w:rsidRPr="00000000">
              <w:rPr>
                <w:color w:val="000000"/>
                <w:rtl w:val="0"/>
              </w:rPr>
              <w:t xml:space="preserve">Collection of Data on Sexual Orientation</w:t>
            </w: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5</w:t>
            </w:r>
          </w:p>
        </w:tc>
        <w:tc>
          <w:tcPr/>
          <w:p w:rsidR="00000000" w:rsidDel="00000000" w:rsidP="00000000" w:rsidRDefault="00000000" w:rsidRPr="00000000" w14:paraId="00000045">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46">
            <w:pPr>
              <w:rPr/>
            </w:pPr>
            <w:r w:rsidDel="00000000" w:rsidR="00000000" w:rsidRPr="00000000">
              <w:rPr>
                <w:rtl w:val="0"/>
              </w:rPr>
              <w:t xml:space="preserve">2.F</w:t>
            </w:r>
          </w:p>
        </w:tc>
        <w:tc>
          <w:tcPr/>
          <w:p w:rsidR="00000000" w:rsidDel="00000000" w:rsidP="00000000" w:rsidRDefault="00000000" w:rsidRPr="00000000" w14:paraId="00000047">
            <w:pPr>
              <w:rPr/>
            </w:pPr>
            <w:r w:rsidDel="00000000" w:rsidR="00000000" w:rsidRPr="00000000">
              <w:rPr>
                <w:color w:val="000000"/>
                <w:rtl w:val="0"/>
              </w:rPr>
              <w:t xml:space="preserve">Privacy Protections for Data</w:t>
            </w: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t xml:space="preserve">3</w:t>
            </w:r>
          </w:p>
        </w:tc>
        <w:tc>
          <w:tcPr/>
          <w:p w:rsidR="00000000" w:rsidDel="00000000" w:rsidP="00000000" w:rsidRDefault="00000000" w:rsidRPr="00000000" w14:paraId="00000049">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4A">
            <w:pPr>
              <w:rPr/>
            </w:pPr>
            <w:r w:rsidDel="00000000" w:rsidR="00000000" w:rsidRPr="00000000">
              <w:rPr>
                <w:rtl w:val="0"/>
              </w:rPr>
              <w:t xml:space="preserve">2.G</w:t>
            </w:r>
          </w:p>
        </w:tc>
        <w:tc>
          <w:tcPr/>
          <w:p w:rsidR="00000000" w:rsidDel="00000000" w:rsidP="00000000" w:rsidRDefault="00000000" w:rsidRPr="00000000" w14:paraId="0000004B">
            <w:pPr>
              <w:rPr/>
            </w:pPr>
            <w:r w:rsidDel="00000000" w:rsidR="00000000" w:rsidRPr="00000000">
              <w:rPr>
                <w:color w:val="000000"/>
                <w:rtl w:val="0"/>
              </w:rPr>
              <w:t xml:space="preserve">Notification of Privacy Protections</w:t>
            </w: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t xml:space="preserve">3</w:t>
            </w:r>
          </w:p>
        </w:tc>
        <w:tc>
          <w:tcPr/>
          <w:p w:rsidR="00000000" w:rsidDel="00000000" w:rsidP="00000000" w:rsidRDefault="00000000" w:rsidRPr="00000000" w14:paraId="0000004D">
            <w:pPr>
              <w:rPr/>
            </w:pPr>
            <w:r w:rsidDel="00000000" w:rsidR="00000000" w:rsidRPr="00000000">
              <w:rPr>
                <w:rtl w:val="0"/>
              </w:rPr>
              <w:t xml:space="preserve"> September 30, 2024</w:t>
            </w:r>
          </w:p>
        </w:tc>
      </w:tr>
      <w:tr>
        <w:trPr>
          <w:cantSplit w:val="0"/>
          <w:tblHeader w:val="0"/>
        </w:trPr>
        <w:tc>
          <w:tcPr>
            <w:shd w:fill="f2f2f2" w:val="clear"/>
          </w:tcPr>
          <w:p w:rsidR="00000000" w:rsidDel="00000000" w:rsidP="00000000" w:rsidRDefault="00000000" w:rsidRPr="00000000" w14:paraId="0000004E">
            <w:pPr>
              <w:rPr>
                <w:b w:val="1"/>
              </w:rPr>
            </w:pPr>
            <w:r w:rsidDel="00000000" w:rsidR="00000000" w:rsidRPr="00000000">
              <w:rPr>
                <w:b w:val="1"/>
                <w:rtl w:val="0"/>
              </w:rPr>
              <w:t xml:space="preserve">3</w:t>
            </w:r>
          </w:p>
        </w:tc>
        <w:tc>
          <w:tcPr>
            <w:gridSpan w:val="3"/>
            <w:shd w:fill="f2f2f2" w:val="clear"/>
          </w:tcPr>
          <w:p w:rsidR="00000000" w:rsidDel="00000000" w:rsidP="00000000" w:rsidRDefault="00000000" w:rsidRPr="00000000" w14:paraId="0000004F">
            <w:pPr>
              <w:rPr>
                <w:b w:val="1"/>
              </w:rPr>
            </w:pPr>
            <w:r w:rsidDel="00000000" w:rsidR="00000000" w:rsidRPr="00000000">
              <w:rPr>
                <w:b w:val="1"/>
                <w:color w:val="000000"/>
                <w:rtl w:val="0"/>
              </w:rPr>
              <w:t xml:space="preserve">Access and Availability of Language Services</w:t>
            </w:r>
            <w:r w:rsidDel="00000000" w:rsidR="00000000" w:rsidRPr="00000000">
              <w:rPr>
                <w:rtl w:val="0"/>
              </w:rPr>
            </w:r>
          </w:p>
        </w:tc>
      </w:tr>
      <w:tr>
        <w:trPr>
          <w:cantSplit w:val="0"/>
          <w:tblHeader w:val="0"/>
        </w:trPr>
        <w:tc>
          <w:tcPr/>
          <w:p w:rsidR="00000000" w:rsidDel="00000000" w:rsidP="00000000" w:rsidRDefault="00000000" w:rsidRPr="00000000" w14:paraId="00000052">
            <w:pPr>
              <w:rPr/>
            </w:pPr>
            <w:r w:rsidDel="00000000" w:rsidR="00000000" w:rsidRPr="00000000">
              <w:rPr>
                <w:rtl w:val="0"/>
              </w:rPr>
              <w:t xml:space="preserve">3.A</w:t>
            </w:r>
          </w:p>
        </w:tc>
        <w:tc>
          <w:tcPr/>
          <w:p w:rsidR="00000000" w:rsidDel="00000000" w:rsidP="00000000" w:rsidRDefault="00000000" w:rsidRPr="00000000" w14:paraId="00000053">
            <w:pPr>
              <w:rPr>
                <w:color w:val="000000"/>
              </w:rPr>
            </w:pPr>
            <w:r w:rsidDel="00000000" w:rsidR="00000000" w:rsidRPr="00000000">
              <w:rPr>
                <w:color w:val="000000"/>
                <w:rtl w:val="0"/>
              </w:rPr>
              <w:t xml:space="preserve">Written Documents</w:t>
            </w:r>
          </w:p>
        </w:tc>
        <w:tc>
          <w:tcPr/>
          <w:p w:rsidR="00000000" w:rsidDel="00000000" w:rsidP="00000000" w:rsidRDefault="00000000" w:rsidRPr="00000000" w14:paraId="00000054">
            <w:pPr>
              <w:rPr/>
            </w:pPr>
            <w:r w:rsidDel="00000000" w:rsidR="00000000" w:rsidRPr="00000000">
              <w:rPr>
                <w:rtl w:val="0"/>
              </w:rPr>
              <w:t xml:space="preserve">2</w:t>
            </w:r>
          </w:p>
        </w:tc>
        <w:tc>
          <w:tcPr/>
          <w:p w:rsidR="00000000" w:rsidDel="00000000" w:rsidP="00000000" w:rsidRDefault="00000000" w:rsidRPr="00000000" w14:paraId="00000055">
            <w:pPr>
              <w:rPr/>
            </w:pPr>
            <w:r w:rsidDel="00000000" w:rsidR="00000000" w:rsidRPr="00000000">
              <w:rPr>
                <w:rtl w:val="0"/>
              </w:rPr>
              <w:t xml:space="preserve">September 30, 2025</w:t>
            </w:r>
          </w:p>
        </w:tc>
      </w:tr>
      <w:tr>
        <w:trPr>
          <w:cantSplit w:val="0"/>
          <w:tblHeader w:val="0"/>
        </w:trPr>
        <w:tc>
          <w:tcPr/>
          <w:p w:rsidR="00000000" w:rsidDel="00000000" w:rsidP="00000000" w:rsidRDefault="00000000" w:rsidRPr="00000000" w14:paraId="00000056">
            <w:pPr>
              <w:rPr/>
            </w:pPr>
            <w:r w:rsidDel="00000000" w:rsidR="00000000" w:rsidRPr="00000000">
              <w:rPr>
                <w:rtl w:val="0"/>
              </w:rPr>
              <w:t xml:space="preserve">3.B</w:t>
            </w:r>
          </w:p>
        </w:tc>
        <w:tc>
          <w:tcPr/>
          <w:p w:rsidR="00000000" w:rsidDel="00000000" w:rsidP="00000000" w:rsidRDefault="00000000" w:rsidRPr="00000000" w14:paraId="00000057">
            <w:pPr>
              <w:rPr>
                <w:color w:val="000000"/>
              </w:rPr>
            </w:pPr>
            <w:r w:rsidDel="00000000" w:rsidR="00000000" w:rsidRPr="00000000">
              <w:rPr>
                <w:color w:val="000000"/>
                <w:rtl w:val="0"/>
              </w:rPr>
              <w:t xml:space="preserve">Spoken Language Services</w:t>
            </w:r>
          </w:p>
        </w:tc>
        <w:tc>
          <w:tcPr/>
          <w:p w:rsidR="00000000" w:rsidDel="00000000" w:rsidP="00000000" w:rsidRDefault="00000000" w:rsidRPr="00000000" w14:paraId="00000058">
            <w:pPr>
              <w:rPr/>
            </w:pPr>
            <w:r w:rsidDel="00000000" w:rsidR="00000000" w:rsidRPr="00000000">
              <w:rPr>
                <w:rtl w:val="0"/>
              </w:rPr>
              <w:t xml:space="preserve">2</w:t>
            </w:r>
          </w:p>
        </w:tc>
        <w:tc>
          <w:tcPr/>
          <w:p w:rsidR="00000000" w:rsidDel="00000000" w:rsidP="00000000" w:rsidRDefault="00000000" w:rsidRPr="00000000" w14:paraId="00000059">
            <w:pPr>
              <w:rPr/>
            </w:pPr>
            <w:r w:rsidDel="00000000" w:rsidR="00000000" w:rsidRPr="00000000">
              <w:rPr>
                <w:rtl w:val="0"/>
              </w:rPr>
              <w:t xml:space="preserve">September 30, 2025</w:t>
            </w:r>
          </w:p>
        </w:tc>
      </w:tr>
      <w:tr>
        <w:trPr>
          <w:cantSplit w:val="0"/>
          <w:tblHeader w:val="0"/>
        </w:trPr>
        <w:tc>
          <w:tcPr/>
          <w:p w:rsidR="00000000" w:rsidDel="00000000" w:rsidP="00000000" w:rsidRDefault="00000000" w:rsidRPr="00000000" w14:paraId="0000005A">
            <w:pPr>
              <w:rPr/>
            </w:pPr>
            <w:r w:rsidDel="00000000" w:rsidR="00000000" w:rsidRPr="00000000">
              <w:rPr>
                <w:rtl w:val="0"/>
              </w:rPr>
              <w:t xml:space="preserve">3.C</w:t>
            </w:r>
          </w:p>
        </w:tc>
        <w:tc>
          <w:tcPr/>
          <w:p w:rsidR="00000000" w:rsidDel="00000000" w:rsidP="00000000" w:rsidRDefault="00000000" w:rsidRPr="00000000" w14:paraId="0000005B">
            <w:pPr>
              <w:rPr>
                <w:color w:val="000000"/>
              </w:rPr>
            </w:pPr>
            <w:r w:rsidDel="00000000" w:rsidR="00000000" w:rsidRPr="00000000">
              <w:rPr>
                <w:color w:val="000000"/>
                <w:rtl w:val="0"/>
              </w:rPr>
              <w:t xml:space="preserve">Support for Language Services</w:t>
            </w:r>
          </w:p>
        </w:tc>
        <w:tc>
          <w:tcPr/>
          <w:p w:rsidR="00000000" w:rsidDel="00000000" w:rsidP="00000000" w:rsidRDefault="00000000" w:rsidRPr="00000000" w14:paraId="0000005C">
            <w:pPr>
              <w:rPr/>
            </w:pPr>
            <w:r w:rsidDel="00000000" w:rsidR="00000000" w:rsidRPr="00000000">
              <w:rPr>
                <w:rtl w:val="0"/>
              </w:rPr>
              <w:t xml:space="preserve">2</w:t>
            </w:r>
          </w:p>
        </w:tc>
        <w:tc>
          <w:tcPr/>
          <w:p w:rsidR="00000000" w:rsidDel="00000000" w:rsidP="00000000" w:rsidRDefault="00000000" w:rsidRPr="00000000" w14:paraId="0000005D">
            <w:pPr>
              <w:rPr/>
            </w:pPr>
            <w:r w:rsidDel="00000000" w:rsidR="00000000" w:rsidRPr="00000000">
              <w:rPr>
                <w:rtl w:val="0"/>
              </w:rPr>
              <w:t xml:space="preserve">September 30, 2025</w:t>
            </w:r>
          </w:p>
        </w:tc>
      </w:tr>
      <w:tr>
        <w:trPr>
          <w:cantSplit w:val="0"/>
          <w:tblHeader w:val="0"/>
        </w:trPr>
        <w:tc>
          <w:tcPr/>
          <w:p w:rsidR="00000000" w:rsidDel="00000000" w:rsidP="00000000" w:rsidRDefault="00000000" w:rsidRPr="00000000" w14:paraId="0000005E">
            <w:pPr>
              <w:rPr/>
            </w:pPr>
            <w:r w:rsidDel="00000000" w:rsidR="00000000" w:rsidRPr="00000000">
              <w:rPr>
                <w:rtl w:val="0"/>
              </w:rPr>
              <w:t xml:space="preserve">3.D</w:t>
            </w:r>
          </w:p>
        </w:tc>
        <w:tc>
          <w:tcPr/>
          <w:p w:rsidR="00000000" w:rsidDel="00000000" w:rsidP="00000000" w:rsidRDefault="00000000" w:rsidRPr="00000000" w14:paraId="0000005F">
            <w:pPr>
              <w:rPr>
                <w:color w:val="000000"/>
              </w:rPr>
            </w:pPr>
            <w:r w:rsidDel="00000000" w:rsidR="00000000" w:rsidRPr="00000000">
              <w:rPr>
                <w:color w:val="000000"/>
                <w:rtl w:val="0"/>
              </w:rPr>
              <w:t xml:space="preserve">Notification of Language Services</w:t>
            </w:r>
          </w:p>
        </w:tc>
        <w:tc>
          <w:tcPr/>
          <w:p w:rsidR="00000000" w:rsidDel="00000000" w:rsidP="00000000" w:rsidRDefault="00000000" w:rsidRPr="00000000" w14:paraId="00000060">
            <w:pPr>
              <w:rPr/>
            </w:pPr>
            <w:r w:rsidDel="00000000" w:rsidR="00000000" w:rsidRPr="00000000">
              <w:rPr>
                <w:rtl w:val="0"/>
              </w:rPr>
              <w:t xml:space="preserve">2</w:t>
            </w:r>
          </w:p>
        </w:tc>
        <w:tc>
          <w:tcPr/>
          <w:p w:rsidR="00000000" w:rsidDel="00000000" w:rsidP="00000000" w:rsidRDefault="00000000" w:rsidRPr="00000000" w14:paraId="00000061">
            <w:pPr>
              <w:rPr/>
            </w:pPr>
            <w:r w:rsidDel="00000000" w:rsidR="00000000" w:rsidRPr="00000000">
              <w:rPr>
                <w:rtl w:val="0"/>
              </w:rPr>
              <w:t xml:space="preserve">September 30, 2025</w:t>
            </w:r>
          </w:p>
        </w:tc>
      </w:tr>
      <w:tr>
        <w:trPr>
          <w:cantSplit w:val="0"/>
          <w:tblHeader w:val="0"/>
        </w:trPr>
        <w:tc>
          <w:tcPr>
            <w:shd w:fill="f2f2f2" w:val="clear"/>
          </w:tcPr>
          <w:p w:rsidR="00000000" w:rsidDel="00000000" w:rsidP="00000000" w:rsidRDefault="00000000" w:rsidRPr="00000000" w14:paraId="00000062">
            <w:pPr>
              <w:rPr>
                <w:b w:val="1"/>
              </w:rPr>
            </w:pPr>
            <w:r w:rsidDel="00000000" w:rsidR="00000000" w:rsidRPr="00000000">
              <w:rPr>
                <w:b w:val="1"/>
                <w:rtl w:val="0"/>
              </w:rPr>
              <w:t xml:space="preserve">4</w:t>
            </w:r>
          </w:p>
        </w:tc>
        <w:tc>
          <w:tcPr>
            <w:gridSpan w:val="3"/>
            <w:shd w:fill="f2f2f2" w:val="clear"/>
          </w:tcPr>
          <w:p w:rsidR="00000000" w:rsidDel="00000000" w:rsidP="00000000" w:rsidRDefault="00000000" w:rsidRPr="00000000" w14:paraId="00000063">
            <w:pPr>
              <w:rPr>
                <w:b w:val="1"/>
              </w:rPr>
            </w:pPr>
            <w:r w:rsidDel="00000000" w:rsidR="00000000" w:rsidRPr="00000000">
              <w:rPr>
                <w:b w:val="1"/>
                <w:color w:val="000000"/>
                <w:rtl w:val="0"/>
              </w:rPr>
              <w:t xml:space="preserve">Practitioner Network Cultural Responsiveness</w:t>
            </w:r>
            <w:r w:rsidDel="00000000" w:rsidR="00000000" w:rsidRPr="00000000">
              <w:rPr>
                <w:rtl w:val="0"/>
              </w:rPr>
            </w:r>
          </w:p>
        </w:tc>
      </w:tr>
      <w:tr>
        <w:trPr>
          <w:cantSplit w:val="0"/>
          <w:tblHeader w:val="0"/>
        </w:trPr>
        <w:tc>
          <w:tcPr/>
          <w:p w:rsidR="00000000" w:rsidDel="00000000" w:rsidP="00000000" w:rsidRDefault="00000000" w:rsidRPr="00000000" w14:paraId="00000066">
            <w:pPr>
              <w:rPr/>
            </w:pPr>
            <w:r w:rsidDel="00000000" w:rsidR="00000000" w:rsidRPr="00000000">
              <w:rPr>
                <w:rtl w:val="0"/>
              </w:rPr>
              <w:t xml:space="preserve">4.A</w:t>
            </w:r>
          </w:p>
        </w:tc>
        <w:tc>
          <w:tcPr/>
          <w:p w:rsidR="00000000" w:rsidDel="00000000" w:rsidP="00000000" w:rsidRDefault="00000000" w:rsidRPr="00000000" w14:paraId="00000067">
            <w:pPr>
              <w:rPr>
                <w:color w:val="000000"/>
              </w:rPr>
            </w:pPr>
            <w:r w:rsidDel="00000000" w:rsidR="00000000" w:rsidRPr="00000000">
              <w:rPr>
                <w:color w:val="000000"/>
                <w:rtl w:val="0"/>
              </w:rPr>
              <w:t xml:space="preserve">Assessment and Availability of Information</w:t>
            </w:r>
          </w:p>
        </w:tc>
        <w:tc>
          <w:tcPr/>
          <w:p w:rsidR="00000000" w:rsidDel="00000000" w:rsidP="00000000" w:rsidRDefault="00000000" w:rsidRPr="00000000" w14:paraId="00000068">
            <w:pPr>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r>
          </w:p>
        </w:tc>
      </w:tr>
      <w:tr>
        <w:trPr>
          <w:cantSplit w:val="0"/>
          <w:tblHeader w:val="0"/>
        </w:trPr>
        <w:tc>
          <w:tcPr/>
          <w:p w:rsidR="00000000" w:rsidDel="00000000" w:rsidP="00000000" w:rsidRDefault="00000000" w:rsidRPr="00000000" w14:paraId="0000006A">
            <w:pPr>
              <w:rPr/>
            </w:pPr>
            <w:r w:rsidDel="00000000" w:rsidR="00000000" w:rsidRPr="00000000">
              <w:rPr>
                <w:rtl w:val="0"/>
              </w:rPr>
              <w:t xml:space="preserve">4.B</w:t>
            </w:r>
          </w:p>
        </w:tc>
        <w:tc>
          <w:tcPr/>
          <w:p w:rsidR="00000000" w:rsidDel="00000000" w:rsidP="00000000" w:rsidRDefault="00000000" w:rsidRPr="00000000" w14:paraId="0000006B">
            <w:pPr>
              <w:rPr>
                <w:color w:val="000000"/>
              </w:rPr>
            </w:pPr>
            <w:r w:rsidDel="00000000" w:rsidR="00000000" w:rsidRPr="00000000">
              <w:rPr>
                <w:color w:val="000000"/>
                <w:rtl w:val="0"/>
              </w:rPr>
              <w:t xml:space="preserve">Enhancing Network Responsiveness</w:t>
            </w:r>
          </w:p>
        </w:tc>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E">
            <w:pPr>
              <w:rPr>
                <w:b w:val="1"/>
              </w:rPr>
            </w:pPr>
            <w:r w:rsidDel="00000000" w:rsidR="00000000" w:rsidRPr="00000000">
              <w:rPr>
                <w:b w:val="1"/>
                <w:rtl w:val="0"/>
              </w:rPr>
              <w:t xml:space="preserve">5</w:t>
            </w:r>
          </w:p>
        </w:tc>
        <w:tc>
          <w:tcPr>
            <w:gridSpan w:val="3"/>
            <w:shd w:fill="f2f2f2" w:val="clear"/>
          </w:tcPr>
          <w:p w:rsidR="00000000" w:rsidDel="00000000" w:rsidP="00000000" w:rsidRDefault="00000000" w:rsidRPr="00000000" w14:paraId="0000006F">
            <w:pPr>
              <w:rPr>
                <w:b w:val="1"/>
              </w:rPr>
            </w:pPr>
            <w:r w:rsidDel="00000000" w:rsidR="00000000" w:rsidRPr="00000000">
              <w:rPr>
                <w:b w:val="1"/>
                <w:color w:val="000000"/>
                <w:rtl w:val="0"/>
              </w:rPr>
              <w:t xml:space="preserve">Culturally and Linguistically Appropriate Services Programs</w:t>
            </w:r>
            <w:r w:rsidDel="00000000" w:rsidR="00000000" w:rsidRPr="00000000">
              <w:rPr>
                <w:rtl w:val="0"/>
              </w:rPr>
            </w:r>
          </w:p>
        </w:tc>
      </w:tr>
      <w:tr>
        <w:trPr>
          <w:cantSplit w:val="0"/>
          <w:tblHeader w:val="0"/>
        </w:trPr>
        <w:tc>
          <w:tcPr/>
          <w:p w:rsidR="00000000" w:rsidDel="00000000" w:rsidP="00000000" w:rsidRDefault="00000000" w:rsidRPr="00000000" w14:paraId="00000072">
            <w:pPr>
              <w:rPr/>
            </w:pPr>
            <w:r w:rsidDel="00000000" w:rsidR="00000000" w:rsidRPr="00000000">
              <w:rPr>
                <w:rtl w:val="0"/>
              </w:rPr>
              <w:t xml:space="preserve">5.A</w:t>
            </w:r>
          </w:p>
        </w:tc>
        <w:tc>
          <w:tcPr/>
          <w:p w:rsidR="00000000" w:rsidDel="00000000" w:rsidP="00000000" w:rsidRDefault="00000000" w:rsidRPr="00000000" w14:paraId="00000073">
            <w:pPr>
              <w:rPr>
                <w:color w:val="000000"/>
              </w:rPr>
            </w:pPr>
            <w:r w:rsidDel="00000000" w:rsidR="00000000" w:rsidRPr="00000000">
              <w:rPr>
                <w:color w:val="000000"/>
                <w:rtl w:val="0"/>
              </w:rPr>
              <w:t xml:space="preserve">Program Description</w:t>
            </w:r>
          </w:p>
        </w:tc>
        <w:tc>
          <w:tcPr/>
          <w:p w:rsidR="00000000" w:rsidDel="00000000" w:rsidP="00000000" w:rsidRDefault="00000000" w:rsidRPr="00000000" w14:paraId="00000074">
            <w:pPr>
              <w:rPr/>
            </w:pPr>
            <w:r w:rsidDel="00000000" w:rsidR="00000000" w:rsidRPr="00000000">
              <w:rPr>
                <w:rtl w:val="0"/>
              </w:rPr>
              <w:t xml:space="preserve">2 (Factors 1-5)</w:t>
            </w:r>
          </w:p>
        </w:tc>
        <w:tc>
          <w:tcPr/>
          <w:p w:rsidR="00000000" w:rsidDel="00000000" w:rsidP="00000000" w:rsidRDefault="00000000" w:rsidRPr="00000000" w14:paraId="00000075">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76">
            <w:pPr>
              <w:rPr/>
            </w:pPr>
            <w:r w:rsidDel="00000000" w:rsidR="00000000" w:rsidRPr="00000000">
              <w:rPr>
                <w:rtl w:val="0"/>
              </w:rPr>
              <w:t xml:space="preserve">5.B</w:t>
            </w:r>
          </w:p>
        </w:tc>
        <w:tc>
          <w:tcPr/>
          <w:p w:rsidR="00000000" w:rsidDel="00000000" w:rsidP="00000000" w:rsidRDefault="00000000" w:rsidRPr="00000000" w14:paraId="00000077">
            <w:pPr>
              <w:rPr>
                <w:color w:val="000000"/>
              </w:rPr>
            </w:pPr>
            <w:r w:rsidDel="00000000" w:rsidR="00000000" w:rsidRPr="00000000">
              <w:rPr>
                <w:color w:val="000000"/>
                <w:rtl w:val="0"/>
              </w:rPr>
              <w:t xml:space="preserve">Annual Evaluation</w:t>
            </w:r>
          </w:p>
        </w:tc>
        <w:tc>
          <w:tcPr/>
          <w:p w:rsidR="00000000" w:rsidDel="00000000" w:rsidP="00000000" w:rsidRDefault="00000000" w:rsidRPr="00000000" w14:paraId="00000078">
            <w:pPr>
              <w:rPr/>
            </w:pPr>
            <w:r w:rsidDel="00000000" w:rsidR="00000000" w:rsidRPr="00000000">
              <w:rPr>
                <w:rtl w:val="0"/>
              </w:rPr>
              <w:t xml:space="preserve">2</w:t>
            </w:r>
          </w:p>
        </w:tc>
        <w:tc>
          <w:tcPr/>
          <w:p w:rsidR="00000000" w:rsidDel="00000000" w:rsidP="00000000" w:rsidRDefault="00000000" w:rsidRPr="00000000" w14:paraId="00000079">
            <w:pPr>
              <w:rPr/>
            </w:pPr>
            <w:r w:rsidDel="00000000" w:rsidR="00000000" w:rsidRPr="00000000">
              <w:rPr>
                <w:rtl w:val="0"/>
              </w:rPr>
              <w:t xml:space="preserve">September 30, 2025</w:t>
            </w:r>
          </w:p>
        </w:tc>
      </w:tr>
      <w:tr>
        <w:trPr>
          <w:cantSplit w:val="0"/>
          <w:tblHeader w:val="0"/>
        </w:trPr>
        <w:tc>
          <w:tcPr>
            <w:shd w:fill="f2f2f2" w:val="clear"/>
          </w:tcPr>
          <w:p w:rsidR="00000000" w:rsidDel="00000000" w:rsidP="00000000" w:rsidRDefault="00000000" w:rsidRPr="00000000" w14:paraId="0000007A">
            <w:pPr>
              <w:rPr>
                <w:b w:val="1"/>
              </w:rPr>
            </w:pPr>
            <w:r w:rsidDel="00000000" w:rsidR="00000000" w:rsidRPr="00000000">
              <w:rPr>
                <w:b w:val="1"/>
                <w:rtl w:val="0"/>
              </w:rPr>
              <w:t xml:space="preserve">6</w:t>
            </w:r>
          </w:p>
        </w:tc>
        <w:tc>
          <w:tcPr>
            <w:gridSpan w:val="3"/>
            <w:shd w:fill="f2f2f2" w:val="clear"/>
          </w:tcPr>
          <w:p w:rsidR="00000000" w:rsidDel="00000000" w:rsidP="00000000" w:rsidRDefault="00000000" w:rsidRPr="00000000" w14:paraId="0000007B">
            <w:pPr>
              <w:rPr>
                <w:b w:val="1"/>
              </w:rPr>
            </w:pPr>
            <w:r w:rsidDel="00000000" w:rsidR="00000000" w:rsidRPr="00000000">
              <w:rPr>
                <w:b w:val="1"/>
                <w:color w:val="000000"/>
                <w:rtl w:val="0"/>
              </w:rPr>
              <w:t xml:space="preserve">Reducing Health Care Disparities</w:t>
            </w:r>
            <w:r w:rsidDel="00000000" w:rsidR="00000000" w:rsidRPr="00000000">
              <w:rPr>
                <w:rtl w:val="0"/>
              </w:rPr>
            </w:r>
          </w:p>
        </w:tc>
      </w:tr>
      <w:tr>
        <w:trPr>
          <w:cantSplit w:val="0"/>
          <w:tblHeader w:val="0"/>
        </w:trPr>
        <w:tc>
          <w:tcPr/>
          <w:p w:rsidR="00000000" w:rsidDel="00000000" w:rsidP="00000000" w:rsidRDefault="00000000" w:rsidRPr="00000000" w14:paraId="0000007E">
            <w:pPr>
              <w:rPr/>
            </w:pPr>
            <w:r w:rsidDel="00000000" w:rsidR="00000000" w:rsidRPr="00000000">
              <w:rPr>
                <w:rtl w:val="0"/>
              </w:rPr>
              <w:t xml:space="preserve">6.A</w:t>
            </w:r>
          </w:p>
        </w:tc>
        <w:tc>
          <w:tcPr/>
          <w:p w:rsidR="00000000" w:rsidDel="00000000" w:rsidP="00000000" w:rsidRDefault="00000000" w:rsidRPr="00000000" w14:paraId="0000007F">
            <w:pPr>
              <w:rPr/>
            </w:pPr>
            <w:r w:rsidDel="00000000" w:rsidR="00000000" w:rsidRPr="00000000">
              <w:rPr>
                <w:color w:val="000000"/>
                <w:rtl w:val="0"/>
              </w:rPr>
              <w:t xml:space="preserve">Reporting Stratified Measures</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(Entire element is only applicable to health plans)</w:t>
            </w:r>
          </w:p>
        </w:tc>
        <w:tc>
          <w:tcPr/>
          <w:p w:rsidR="00000000" w:rsidDel="00000000" w:rsidP="00000000" w:rsidRDefault="00000000" w:rsidRPr="00000000" w14:paraId="00000081">
            <w:pPr>
              <w:rPr/>
            </w:pPr>
            <w:r w:rsidDel="00000000" w:rsidR="00000000" w:rsidRPr="00000000">
              <w:rPr>
                <w:rtl w:val="0"/>
              </w:rPr>
              <w:t xml:space="preserve">5</w:t>
            </w:r>
          </w:p>
        </w:tc>
        <w:tc>
          <w:tcPr/>
          <w:p w:rsidR="00000000" w:rsidDel="00000000" w:rsidP="00000000" w:rsidRDefault="00000000" w:rsidRPr="00000000" w14:paraId="00000082">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83">
            <w:pPr>
              <w:rPr/>
            </w:pPr>
            <w:r w:rsidDel="00000000" w:rsidR="00000000" w:rsidRPr="00000000">
              <w:rPr>
                <w:rtl w:val="0"/>
              </w:rPr>
              <w:t xml:space="preserve">6.B</w:t>
            </w:r>
          </w:p>
        </w:tc>
        <w:tc>
          <w:tcPr/>
          <w:p w:rsidR="00000000" w:rsidDel="00000000" w:rsidP="00000000" w:rsidRDefault="00000000" w:rsidRPr="00000000" w14:paraId="00000084">
            <w:pPr>
              <w:rPr>
                <w:color w:val="000000"/>
              </w:rPr>
            </w:pPr>
            <w:r w:rsidDel="00000000" w:rsidR="00000000" w:rsidRPr="00000000">
              <w:rPr>
                <w:color w:val="000000"/>
                <w:rtl w:val="0"/>
              </w:rPr>
              <w:t xml:space="preserve">Use of Data to Assess Disparities</w:t>
            </w:r>
          </w:p>
        </w:tc>
        <w:tc>
          <w:tcPr/>
          <w:p w:rsidR="00000000" w:rsidDel="00000000" w:rsidP="00000000" w:rsidRDefault="00000000" w:rsidRPr="00000000" w14:paraId="00000085">
            <w:pPr>
              <w:rPr/>
            </w:pPr>
            <w:r w:rsidDel="00000000" w:rsidR="00000000" w:rsidRPr="00000000">
              <w:rPr>
                <w:rtl w:val="0"/>
              </w:rPr>
              <w:t xml:space="preserve">5</w:t>
            </w:r>
          </w:p>
        </w:tc>
        <w:tc>
          <w:tcPr/>
          <w:p w:rsidR="00000000" w:rsidDel="00000000" w:rsidP="00000000" w:rsidRDefault="00000000" w:rsidRPr="00000000" w14:paraId="00000086">
            <w:pPr>
              <w:rPr/>
            </w:pPr>
            <w:r w:rsidDel="00000000" w:rsidR="00000000" w:rsidRPr="00000000">
              <w:rPr>
                <w:rtl w:val="0"/>
              </w:rPr>
              <w:t xml:space="preserve">September 30, 2024</w:t>
            </w:r>
          </w:p>
        </w:tc>
      </w:tr>
      <w:tr>
        <w:trPr>
          <w:cantSplit w:val="0"/>
          <w:tblHeader w:val="0"/>
        </w:trPr>
        <w:tc>
          <w:tcPr/>
          <w:p w:rsidR="00000000" w:rsidDel="00000000" w:rsidP="00000000" w:rsidRDefault="00000000" w:rsidRPr="00000000" w14:paraId="00000087">
            <w:pPr>
              <w:rPr/>
            </w:pPr>
            <w:r w:rsidDel="00000000" w:rsidR="00000000" w:rsidRPr="00000000">
              <w:rPr>
                <w:rtl w:val="0"/>
              </w:rPr>
              <w:t xml:space="preserve">6.C</w:t>
            </w:r>
          </w:p>
        </w:tc>
        <w:tc>
          <w:tcPr/>
          <w:p w:rsidR="00000000" w:rsidDel="00000000" w:rsidP="00000000" w:rsidRDefault="00000000" w:rsidRPr="00000000" w14:paraId="00000088">
            <w:pPr>
              <w:rPr>
                <w:color w:val="000000"/>
              </w:rPr>
            </w:pPr>
            <w:r w:rsidDel="00000000" w:rsidR="00000000" w:rsidRPr="00000000">
              <w:rPr>
                <w:color w:val="000000"/>
                <w:rtl w:val="0"/>
              </w:rPr>
              <w:t xml:space="preserve">Use of Data to Monitor and Assess Services</w:t>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r>
          </w:p>
        </w:tc>
      </w:tr>
      <w:tr>
        <w:trPr>
          <w:cantSplit w:val="0"/>
          <w:tblHeader w:val="0"/>
        </w:trPr>
        <w:tc>
          <w:tcPr/>
          <w:p w:rsidR="00000000" w:rsidDel="00000000" w:rsidP="00000000" w:rsidRDefault="00000000" w:rsidRPr="00000000" w14:paraId="0000008B">
            <w:pPr>
              <w:rPr/>
            </w:pPr>
            <w:r w:rsidDel="00000000" w:rsidR="00000000" w:rsidRPr="00000000">
              <w:rPr>
                <w:rtl w:val="0"/>
              </w:rPr>
              <w:t xml:space="preserve">6.D</w:t>
            </w:r>
          </w:p>
        </w:tc>
        <w:tc>
          <w:tcPr/>
          <w:p w:rsidR="00000000" w:rsidDel="00000000" w:rsidP="00000000" w:rsidRDefault="00000000" w:rsidRPr="00000000" w14:paraId="0000008C">
            <w:pPr>
              <w:rPr>
                <w:color w:val="000000"/>
              </w:rPr>
            </w:pPr>
            <w:r w:rsidDel="00000000" w:rsidR="00000000" w:rsidRPr="00000000">
              <w:rPr>
                <w:color w:val="000000"/>
                <w:rtl w:val="0"/>
              </w:rPr>
              <w:t xml:space="preserve">Use of Data to Measure CLAS and Inequities</w:t>
            </w:r>
          </w:p>
        </w:tc>
        <w:tc>
          <w:tcPr/>
          <w:p w:rsidR="00000000" w:rsidDel="00000000" w:rsidP="00000000" w:rsidRDefault="00000000" w:rsidRPr="00000000" w14:paraId="0000008D">
            <w:pPr>
              <w:rPr/>
            </w:pPr>
            <w:r w:rsidDel="00000000" w:rsidR="00000000" w:rsidRPr="00000000">
              <w:rPr>
                <w:rtl w:val="0"/>
              </w:rPr>
              <w:t xml:space="preserve">2 (Factors 2, 4, 6)</w:t>
            </w:r>
          </w:p>
          <w:p w:rsidR="00000000" w:rsidDel="00000000" w:rsidP="00000000" w:rsidRDefault="00000000" w:rsidRPr="00000000" w14:paraId="0000008E">
            <w:pPr>
              <w:rPr/>
            </w:pPr>
            <w:r w:rsidDel="00000000" w:rsidR="00000000" w:rsidRPr="00000000">
              <w:rPr>
                <w:rtl w:val="0"/>
              </w:rPr>
              <w:t xml:space="preserve">5 (Factors 1 and 3)</w:t>
            </w:r>
          </w:p>
          <w:p w:rsidR="00000000" w:rsidDel="00000000" w:rsidP="00000000" w:rsidRDefault="00000000" w:rsidRPr="00000000" w14:paraId="0000008F">
            <w:pPr>
              <w:rPr/>
            </w:pPr>
            <w:r w:rsidDel="00000000" w:rsidR="00000000" w:rsidRPr="00000000">
              <w:rPr>
                <w:rtl w:val="0"/>
              </w:rPr>
              <w:t xml:space="preserve">5 (Factor 5)</w:t>
            </w:r>
          </w:p>
        </w:tc>
        <w:tc>
          <w:tcPr/>
          <w:p w:rsidR="00000000" w:rsidDel="00000000" w:rsidP="00000000" w:rsidRDefault="00000000" w:rsidRPr="00000000" w14:paraId="00000090">
            <w:pPr>
              <w:rPr/>
            </w:pPr>
            <w:r w:rsidDel="00000000" w:rsidR="00000000" w:rsidRPr="00000000">
              <w:rPr>
                <w:rtl w:val="0"/>
              </w:rPr>
              <w:t xml:space="preserve">September 30, 2025</w:t>
            </w:r>
          </w:p>
          <w:p w:rsidR="00000000" w:rsidDel="00000000" w:rsidP="00000000" w:rsidRDefault="00000000" w:rsidRPr="00000000" w14:paraId="00000091">
            <w:pPr>
              <w:rPr/>
            </w:pPr>
            <w:r w:rsidDel="00000000" w:rsidR="00000000" w:rsidRPr="00000000">
              <w:rPr>
                <w:rtl w:val="0"/>
              </w:rPr>
              <w:t xml:space="preserve">March 31, 2025</w:t>
            </w:r>
          </w:p>
          <w:p w:rsidR="00000000" w:rsidDel="00000000" w:rsidP="00000000" w:rsidRDefault="00000000" w:rsidRPr="00000000" w14:paraId="00000092">
            <w:pPr>
              <w:rPr/>
            </w:pPr>
            <w:r w:rsidDel="00000000" w:rsidR="00000000" w:rsidRPr="00000000">
              <w:rPr>
                <w:rtl w:val="0"/>
              </w:rPr>
              <w:t xml:space="preserve">September 30, 2025</w:t>
            </w:r>
          </w:p>
        </w:tc>
      </w:tr>
      <w:tr>
        <w:trPr>
          <w:cantSplit w:val="0"/>
          <w:tblHeader w:val="0"/>
        </w:trPr>
        <w:tc>
          <w:tcPr>
            <w:shd w:fill="f2f2f2" w:val="clear"/>
          </w:tcPr>
          <w:p w:rsidR="00000000" w:rsidDel="00000000" w:rsidP="00000000" w:rsidRDefault="00000000" w:rsidRPr="00000000" w14:paraId="00000093">
            <w:pPr>
              <w:rPr>
                <w:b w:val="1"/>
              </w:rPr>
            </w:pPr>
            <w:r w:rsidDel="00000000" w:rsidR="00000000" w:rsidRPr="00000000">
              <w:rPr>
                <w:b w:val="1"/>
                <w:rtl w:val="0"/>
              </w:rPr>
              <w:t xml:space="preserve">7</w:t>
            </w:r>
          </w:p>
        </w:tc>
        <w:tc>
          <w:tcPr>
            <w:gridSpan w:val="3"/>
            <w:shd w:fill="f2f2f2" w:val="clear"/>
          </w:tcPr>
          <w:p w:rsidR="00000000" w:rsidDel="00000000" w:rsidP="00000000" w:rsidRDefault="00000000" w:rsidRPr="00000000" w14:paraId="00000094">
            <w:pPr>
              <w:rPr>
                <w:b w:val="1"/>
              </w:rPr>
            </w:pPr>
            <w:r w:rsidDel="00000000" w:rsidR="00000000" w:rsidRPr="00000000">
              <w:rPr>
                <w:b w:val="1"/>
                <w:color w:val="000000"/>
                <w:rtl w:val="0"/>
              </w:rPr>
              <w:t xml:space="preserve">Delegation of Health Equity Activities</w:t>
            </w:r>
            <w:r w:rsidDel="00000000" w:rsidR="00000000" w:rsidRPr="00000000">
              <w:rPr>
                <w:b w:val="1"/>
                <w:color w:val="000000"/>
                <w:rtl w:val="0"/>
              </w:rPr>
              <w:t xml:space="preserve">- N/A for </w:t>
            </w:r>
            <w:r w:rsidDel="00000000" w:rsidR="00000000" w:rsidRPr="00000000">
              <w:rPr>
                <w:b w:val="1"/>
                <w:rtl w:val="0"/>
              </w:rPr>
              <w:t xml:space="preserve">P</w:t>
            </w:r>
            <w:r w:rsidDel="00000000" w:rsidR="00000000" w:rsidRPr="00000000">
              <w:rPr>
                <w:b w:val="1"/>
                <w:color w:val="000000"/>
                <w:rtl w:val="0"/>
              </w:rPr>
              <w:t xml:space="preserve">roviders</w:t>
            </w:r>
            <w:r w:rsidDel="00000000" w:rsidR="00000000" w:rsidRPr="00000000">
              <w:rPr>
                <w:rtl w:val="0"/>
              </w:rPr>
            </w:r>
          </w:p>
        </w:tc>
      </w:tr>
      <w:tr>
        <w:trPr>
          <w:cantSplit w:val="0"/>
          <w:tblHeader w:val="0"/>
        </w:trPr>
        <w:tc>
          <w:tcPr/>
          <w:p w:rsidR="00000000" w:rsidDel="00000000" w:rsidP="00000000" w:rsidRDefault="00000000" w:rsidRPr="00000000" w14:paraId="00000097">
            <w:pPr>
              <w:rPr/>
            </w:pPr>
            <w:r w:rsidDel="00000000" w:rsidR="00000000" w:rsidRPr="00000000">
              <w:rPr>
                <w:rtl w:val="0"/>
              </w:rPr>
              <w:t xml:space="preserve">7.A</w:t>
            </w:r>
          </w:p>
        </w:tc>
        <w:tc>
          <w:tcPr/>
          <w:p w:rsidR="00000000" w:rsidDel="00000000" w:rsidP="00000000" w:rsidRDefault="00000000" w:rsidRPr="00000000" w14:paraId="00000098">
            <w:pPr>
              <w:rPr>
                <w:color w:val="000000"/>
              </w:rPr>
            </w:pPr>
            <w:r w:rsidDel="00000000" w:rsidR="00000000" w:rsidRPr="00000000">
              <w:rPr>
                <w:color w:val="000000"/>
                <w:rtl w:val="0"/>
              </w:rPr>
              <w:t xml:space="preserve">Delegation Agreement</w:t>
            </w:r>
          </w:p>
          <w:p w:rsidR="00000000" w:rsidDel="00000000" w:rsidP="00000000" w:rsidRDefault="00000000" w:rsidRPr="00000000" w14:paraId="00000099">
            <w:pPr>
              <w:rPr/>
            </w:pPr>
            <w:r w:rsidDel="00000000" w:rsidR="00000000" w:rsidRPr="00000000">
              <w:rPr>
                <w:rtl w:val="0"/>
              </w:rPr>
              <w:t xml:space="preserve">(Entire standard is only applicable to health plans)</w:t>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r>
      <w:tr>
        <w:trPr>
          <w:cantSplit w:val="0"/>
          <w:tblHeader w:val="0"/>
        </w:trPr>
        <w:tc>
          <w:tcPr/>
          <w:p w:rsidR="00000000" w:rsidDel="00000000" w:rsidP="00000000" w:rsidRDefault="00000000" w:rsidRPr="00000000" w14:paraId="0000009C">
            <w:pPr>
              <w:rPr/>
            </w:pPr>
            <w:r w:rsidDel="00000000" w:rsidR="00000000" w:rsidRPr="00000000">
              <w:rPr>
                <w:rtl w:val="0"/>
              </w:rPr>
              <w:t xml:space="preserve">7.B</w:t>
            </w:r>
          </w:p>
        </w:tc>
        <w:tc>
          <w:tcPr/>
          <w:p w:rsidR="00000000" w:rsidDel="00000000" w:rsidP="00000000" w:rsidRDefault="00000000" w:rsidRPr="00000000" w14:paraId="0000009D">
            <w:pPr>
              <w:rPr>
                <w:color w:val="000000"/>
              </w:rPr>
            </w:pPr>
            <w:r w:rsidDel="00000000" w:rsidR="00000000" w:rsidRPr="00000000">
              <w:rPr>
                <w:color w:val="000000"/>
                <w:rtl w:val="0"/>
              </w:rPr>
              <w:t xml:space="preserve">Predelegation Evaluation</w:t>
            </w:r>
            <w:r w:rsidDel="00000000" w:rsidR="00000000" w:rsidRPr="00000000">
              <w:rPr>
                <w:rtl w:val="0"/>
              </w:rPr>
              <w:t xml:space="preserve">(Entire standard is only applicable to health plans)</w:t>
            </w: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r>
      <w:tr>
        <w:trPr>
          <w:cantSplit w:val="0"/>
          <w:tblHeader w:val="0"/>
        </w:trPr>
        <w:tc>
          <w:tcPr/>
          <w:p w:rsidR="00000000" w:rsidDel="00000000" w:rsidP="00000000" w:rsidRDefault="00000000" w:rsidRPr="00000000" w14:paraId="000000A0">
            <w:pPr>
              <w:rPr/>
            </w:pPr>
            <w:r w:rsidDel="00000000" w:rsidR="00000000" w:rsidRPr="00000000">
              <w:rPr>
                <w:rtl w:val="0"/>
              </w:rPr>
              <w:t xml:space="preserve">7.C</w:t>
            </w:r>
          </w:p>
        </w:tc>
        <w:tc>
          <w:tcPr/>
          <w:p w:rsidR="00000000" w:rsidDel="00000000" w:rsidP="00000000" w:rsidRDefault="00000000" w:rsidRPr="00000000" w14:paraId="000000A1">
            <w:pPr>
              <w:rPr>
                <w:color w:val="000000"/>
              </w:rPr>
            </w:pPr>
            <w:r w:rsidDel="00000000" w:rsidR="00000000" w:rsidRPr="00000000">
              <w:rPr>
                <w:color w:val="000000"/>
                <w:rtl w:val="0"/>
              </w:rPr>
              <w:t xml:space="preserve">Review of Performance</w:t>
            </w:r>
          </w:p>
          <w:p w:rsidR="00000000" w:rsidDel="00000000" w:rsidP="00000000" w:rsidRDefault="00000000" w:rsidRPr="00000000" w14:paraId="000000A2">
            <w:pPr>
              <w:rPr/>
            </w:pPr>
            <w:r w:rsidDel="00000000" w:rsidR="00000000" w:rsidRPr="00000000">
              <w:rPr>
                <w:rtl w:val="0"/>
              </w:rPr>
              <w:t xml:space="preserve">(Entire standard is only applicable to health plans)</w:t>
            </w:r>
          </w:p>
        </w:tc>
        <w:tc>
          <w:tcPr/>
          <w:p w:rsidR="00000000" w:rsidDel="00000000" w:rsidP="00000000" w:rsidRDefault="00000000" w:rsidRPr="00000000" w14:paraId="000000A3">
            <w:pPr>
              <w:rPr>
                <w:b w:val="1"/>
              </w:rPr>
            </w:pPr>
            <w:r w:rsidDel="00000000" w:rsidR="00000000" w:rsidRPr="00000000">
              <w:rPr>
                <w:rtl w:val="0"/>
              </w:rPr>
            </w:r>
          </w:p>
        </w:tc>
        <w:tc>
          <w:tcPr/>
          <w:p w:rsidR="00000000" w:rsidDel="00000000" w:rsidP="00000000" w:rsidRDefault="00000000" w:rsidRPr="00000000" w14:paraId="000000A4">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7.D</w:t>
            </w:r>
          </w:p>
        </w:tc>
        <w:tc>
          <w:tcPr/>
          <w:p w:rsidR="00000000" w:rsidDel="00000000" w:rsidP="00000000" w:rsidRDefault="00000000" w:rsidRPr="00000000" w14:paraId="000000A6">
            <w:pPr>
              <w:rPr>
                <w:color w:val="000000"/>
              </w:rPr>
            </w:pPr>
            <w:r w:rsidDel="00000000" w:rsidR="00000000" w:rsidRPr="00000000">
              <w:rPr>
                <w:color w:val="000000"/>
                <w:rtl w:val="0"/>
              </w:rPr>
              <w:t xml:space="preserve">Opportunities for Improvement</w:t>
            </w:r>
          </w:p>
          <w:p w:rsidR="00000000" w:rsidDel="00000000" w:rsidP="00000000" w:rsidRDefault="00000000" w:rsidRPr="00000000" w14:paraId="000000A7">
            <w:pPr>
              <w:rPr/>
            </w:pPr>
            <w:r w:rsidDel="00000000" w:rsidR="00000000" w:rsidRPr="00000000">
              <w:rPr>
                <w:rtl w:val="0"/>
              </w:rPr>
              <w:t xml:space="preserve">(Entire standard is only applicable to health plans)</w:t>
            </w:r>
          </w:p>
        </w:tc>
        <w:tc>
          <w:tcPr/>
          <w:p w:rsidR="00000000" w:rsidDel="00000000" w:rsidP="00000000" w:rsidRDefault="00000000" w:rsidRPr="00000000" w14:paraId="000000A8">
            <w:pPr>
              <w:rPr>
                <w:b w:val="1"/>
              </w:rPr>
            </w:pPr>
            <w:r w:rsidDel="00000000" w:rsidR="00000000" w:rsidRPr="00000000">
              <w:rPr>
                <w:rtl w:val="0"/>
              </w:rPr>
            </w:r>
          </w:p>
        </w:tc>
        <w:tc>
          <w:tcPr/>
          <w:p w:rsidR="00000000" w:rsidDel="00000000" w:rsidP="00000000" w:rsidRDefault="00000000" w:rsidRPr="00000000" w14:paraId="000000A9">
            <w:pPr>
              <w:rPr>
                <w:b w:val="1"/>
              </w:rPr>
            </w:pPr>
            <w:r w:rsidDel="00000000" w:rsidR="00000000" w:rsidRPr="00000000">
              <w:rPr>
                <w:rtl w:val="0"/>
              </w:rPr>
            </w:r>
          </w:p>
        </w:tc>
      </w:tr>
    </w:tbl>
    <w:p w:rsidR="00000000" w:rsidDel="00000000" w:rsidP="00000000" w:rsidRDefault="00000000" w:rsidRPr="00000000" w14:paraId="000000AA">
      <w:pPr>
        <w:spacing w:after="0" w:line="240" w:lineRule="auto"/>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Book Antiqua" w:cs="Book Antiqua" w:eastAsia="Book Antiqua" w:hAnsi="Book Antiqua"/>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cqa.org/programs/health-equity-accreditation/" TargetMode="External"/><Relationship Id="rId7" Type="http://schemas.openxmlformats.org/officeDocument/2006/relationships/hyperlink" Target="https://store.ncqa.org/accreditation/health-equity-he.html"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