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72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firstRow="1" w:lastRow="0" w:firstColumn="1" w:lastColumn="0" w:noHBand="0" w:noVBand="0"/>
      </w:tblPr>
      <w:tblGrid>
        <w:gridCol w:w="1890"/>
        <w:gridCol w:w="7897"/>
      </w:tblGrid>
      <w:tr w:rsidR="006536D2" w:rsidRPr="005B42CB" w14:paraId="368E34E5" w14:textId="77777777" w:rsidTr="00301C3B">
        <w:trPr>
          <w:trHeight w:val="1278"/>
        </w:trPr>
        <w:tc>
          <w:tcPr>
            <w:tcW w:w="1890" w:type="dxa"/>
            <w:shd w:val="clear" w:color="auto" w:fill="auto"/>
          </w:tcPr>
          <w:p w14:paraId="5614CD92" w14:textId="612953D1" w:rsidR="006536D2" w:rsidRPr="00392D8D" w:rsidRDefault="0020428E" w:rsidP="0054714D">
            <w:r>
              <w:rPr>
                <w:noProof/>
              </w:rPr>
              <w:drawing>
                <wp:inline distT="0" distB="0" distL="0" distR="0" wp14:anchorId="4F0A3BDA" wp14:editId="56A70CD6">
                  <wp:extent cx="914400" cy="6388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638810"/>
                          </a:xfrm>
                          <a:prstGeom prst="rect">
                            <a:avLst/>
                          </a:prstGeom>
                          <a:noFill/>
                          <a:ln>
                            <a:noFill/>
                          </a:ln>
                        </pic:spPr>
                      </pic:pic>
                    </a:graphicData>
                  </a:graphic>
                </wp:inline>
              </w:drawing>
            </w:r>
          </w:p>
        </w:tc>
        <w:tc>
          <w:tcPr>
            <w:tcW w:w="7897" w:type="dxa"/>
            <w:shd w:val="clear" w:color="auto" w:fill="auto"/>
          </w:tcPr>
          <w:p w14:paraId="02191BCB" w14:textId="4CD06FAE" w:rsidR="006536D2" w:rsidRPr="00392D8D" w:rsidRDefault="006536D2" w:rsidP="00B34CF2">
            <w:pPr>
              <w:spacing w:before="140"/>
              <w:rPr>
                <w:rFonts w:ascii="Myriad Web Pro" w:hAnsi="Myriad Web Pro"/>
                <w:color w:val="25416B"/>
                <w:sz w:val="18"/>
              </w:rPr>
            </w:pPr>
            <w:r w:rsidRPr="00392D8D">
              <w:rPr>
                <w:rFonts w:ascii="Myriad Web Pro" w:hAnsi="Myriad Web Pro"/>
                <w:color w:val="25416B"/>
                <w:sz w:val="18"/>
              </w:rPr>
              <w:t>56 Pickering Street   Needham, MA 02492   T: (781)</w:t>
            </w:r>
            <w:r w:rsidR="0094528A" w:rsidRPr="00392D8D">
              <w:rPr>
                <w:rFonts w:ascii="Myriad Web Pro" w:hAnsi="Myriad Web Pro"/>
                <w:color w:val="25416B"/>
                <w:sz w:val="18"/>
              </w:rPr>
              <w:t xml:space="preserve"> </w:t>
            </w:r>
            <w:r w:rsidRPr="00392D8D">
              <w:rPr>
                <w:rFonts w:ascii="Myriad Web Pro" w:hAnsi="Myriad Web Pro"/>
                <w:color w:val="25416B"/>
                <w:sz w:val="18"/>
              </w:rPr>
              <w:t>453-</w:t>
            </w:r>
            <w:proofErr w:type="gramStart"/>
            <w:r w:rsidRPr="00392D8D">
              <w:rPr>
                <w:rFonts w:ascii="Myriad Web Pro" w:hAnsi="Myriad Web Pro"/>
                <w:color w:val="25416B"/>
                <w:sz w:val="18"/>
              </w:rPr>
              <w:t>1166  F</w:t>
            </w:r>
            <w:proofErr w:type="gramEnd"/>
            <w:r w:rsidRPr="00392D8D">
              <w:rPr>
                <w:rFonts w:ascii="Myriad Web Pro" w:hAnsi="Myriad Web Pro"/>
                <w:color w:val="25416B"/>
                <w:sz w:val="18"/>
              </w:rPr>
              <w:t>: (781)</w:t>
            </w:r>
            <w:r w:rsidR="0094528A" w:rsidRPr="00392D8D">
              <w:rPr>
                <w:rFonts w:ascii="Myriad Web Pro" w:hAnsi="Myriad Web Pro"/>
                <w:color w:val="25416B"/>
                <w:sz w:val="18"/>
              </w:rPr>
              <w:t xml:space="preserve"> </w:t>
            </w:r>
            <w:r w:rsidRPr="00392D8D">
              <w:rPr>
                <w:rFonts w:ascii="Myriad Web Pro" w:hAnsi="Myriad Web Pro"/>
                <w:color w:val="25416B"/>
                <w:sz w:val="18"/>
              </w:rPr>
              <w:t>453-1167    www.bailit-health.com</w:t>
            </w:r>
          </w:p>
          <w:p w14:paraId="184BFF4F" w14:textId="77777777" w:rsidR="006536D2" w:rsidRPr="00392D8D" w:rsidRDefault="006536D2" w:rsidP="00392D8D">
            <w:pPr>
              <w:spacing w:before="140"/>
              <w:jc w:val="center"/>
              <w:rPr>
                <w:color w:val="25416B"/>
                <w:sz w:val="18"/>
              </w:rPr>
            </w:pPr>
          </w:p>
        </w:tc>
      </w:tr>
    </w:tbl>
    <w:p w14:paraId="34CCEC0E" w14:textId="75D5E530" w:rsidR="006536D2" w:rsidRDefault="00B34CF2" w:rsidP="00B34CF2">
      <w:pPr>
        <w:ind w:left="720"/>
      </w:pPr>
      <w:r>
        <w:rPr>
          <w:noProof/>
          <w:szCs w:val="20"/>
          <w:lang w:bidi="x-none"/>
        </w:rPr>
        <mc:AlternateContent>
          <mc:Choice Requires="wpg">
            <w:drawing>
              <wp:anchor distT="0" distB="0" distL="114300" distR="114300" simplePos="0" relativeHeight="251658241" behindDoc="1" locked="0" layoutInCell="1" allowOverlap="1" wp14:anchorId="492DBAE4" wp14:editId="30F1A66C">
                <wp:simplePos x="0" y="0"/>
                <wp:positionH relativeFrom="column">
                  <wp:posOffset>546735</wp:posOffset>
                </wp:positionH>
                <wp:positionV relativeFrom="paragraph">
                  <wp:posOffset>-2043430</wp:posOffset>
                </wp:positionV>
                <wp:extent cx="6218555" cy="10563225"/>
                <wp:effectExtent l="0" t="0" r="0" b="9525"/>
                <wp:wrapNone/>
                <wp:docPr id="2"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18555" cy="10563225"/>
                          <a:chOff x="2456" y="-477"/>
                          <a:chExt cx="9793" cy="15123"/>
                        </a:xfrm>
                      </wpg:grpSpPr>
                      <wps:wsp>
                        <wps:cNvPr id="3" name="Rectangle 14"/>
                        <wps:cNvSpPr>
                          <a:spLocks noChangeArrowheads="1"/>
                        </wps:cNvSpPr>
                        <wps:spPr bwMode="auto">
                          <a:xfrm rot="16200000">
                            <a:off x="4598" y="6995"/>
                            <a:ext cx="15123"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Rectangle 16"/>
                        <wps:cNvSpPr>
                          <a:spLocks noChangeArrowheads="1"/>
                        </wps:cNvSpPr>
                        <wps:spPr bwMode="auto">
                          <a:xfrm>
                            <a:off x="2456" y="-21"/>
                            <a:ext cx="9680" cy="179"/>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AA1D7" id="Group 17" o:spid="_x0000_s1026" style="position:absolute;margin-left:43.05pt;margin-top:-160.9pt;width:489.65pt;height:831.75pt;z-index:-251658239" coordorigin="2456,-477" coordsize="9793,15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">
                <v:rect id="Rectangle 14" o:spid="_x0000_s1027" style="position:absolute;left:4598;top:6995;width:15123;height:17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" fillcolor="#25416b" stroked="f"/>
                <v:rect id="Rectangle 16" o:spid="_x0000_s1028" style="position:absolute;left:2456;top:-21;width:9680;height:1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" fillcolor="#25416b" stroked="f"/>
              </v:group>
            </w:pict>
          </mc:Fallback>
        </mc:AlternateContent>
      </w:r>
      <w:r>
        <w:rPr>
          <w:noProof/>
          <w:szCs w:val="20"/>
        </w:rPr>
        <mc:AlternateContent>
          <mc:Choice Requires="wps">
            <w:drawing>
              <wp:anchor distT="0" distB="0" distL="114300" distR="114300" simplePos="0" relativeHeight="251658240" behindDoc="0" locked="0" layoutInCell="1" allowOverlap="1" wp14:anchorId="61A44422" wp14:editId="1B1B7979">
                <wp:simplePos x="0" y="0"/>
                <wp:positionH relativeFrom="column">
                  <wp:posOffset>-641106</wp:posOffset>
                </wp:positionH>
                <wp:positionV relativeFrom="paragraph">
                  <wp:posOffset>-1954775</wp:posOffset>
                </wp:positionV>
                <wp:extent cx="8869045" cy="113665"/>
                <wp:effectExtent l="2540" t="1905" r="0" b="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9045" cy="113665"/>
                        </a:xfrm>
                        <a:prstGeom prst="rect">
                          <a:avLst/>
                        </a:prstGeom>
                        <a:solidFill>
                          <a:srgbClr val="25416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rect id="Rectangle 2" style="position:absolute;margin-left:-50.5pt;margin-top:-153.9pt;width:698.35pt;height:8.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25416b" stroked="f" w14:anchorId="2C5C92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"/>
            </w:pict>
          </mc:Fallback>
        </mc:AlternateContent>
      </w:r>
    </w:p>
    <w:p w14:paraId="7DC6054E" w14:textId="22E8929C" w:rsidR="0054714D" w:rsidRDefault="005C09FF" w:rsidP="0069247D">
      <w:pPr>
        <w:pStyle w:val="NoSpacing"/>
      </w:pPr>
      <w:r>
        <w:t>D</w:t>
      </w:r>
      <w:r w:rsidR="0054714D">
        <w:t>ate:</w:t>
      </w:r>
      <w:r w:rsidR="00CB30DC">
        <w:t xml:space="preserve"> </w:t>
      </w:r>
      <w:r w:rsidR="00E67195">
        <w:t xml:space="preserve">March </w:t>
      </w:r>
      <w:r w:rsidR="00EC0A87">
        <w:t>25</w:t>
      </w:r>
      <w:r w:rsidR="00E67195">
        <w:t>, 2024</w:t>
      </w:r>
    </w:p>
    <w:p w14:paraId="3010BAA1" w14:textId="77777777" w:rsidR="00240C82" w:rsidRPr="00E67195" w:rsidRDefault="00240C82" w:rsidP="00240C82">
      <w:pPr>
        <w:rPr>
          <w:b/>
          <w:bCs/>
        </w:rPr>
      </w:pPr>
    </w:p>
    <w:p w14:paraId="64650FC6" w14:textId="3AF92A76" w:rsidR="00E67195" w:rsidRPr="00E67195" w:rsidRDefault="00E67195" w:rsidP="00E67195">
      <w:pPr>
        <w:pStyle w:val="ListParagraph"/>
        <w:numPr>
          <w:ilvl w:val="0"/>
          <w:numId w:val="16"/>
        </w:numPr>
        <w:rPr>
          <w:b/>
          <w:bCs/>
        </w:rPr>
      </w:pPr>
      <w:r w:rsidRPr="6DE45102">
        <w:rPr>
          <w:b/>
          <w:bCs/>
        </w:rPr>
        <w:t xml:space="preserve">Introduction </w:t>
      </w:r>
    </w:p>
    <w:p w14:paraId="7E5BABD8" w14:textId="1BB667B4" w:rsidR="00116725" w:rsidRDefault="3D986432" w:rsidP="00550347">
      <w:r w:rsidRPr="6DE45102">
        <w:t xml:space="preserve">AHCCCS requested that Bailit Health </w:t>
      </w:r>
      <w:r w:rsidR="00EC0A87">
        <w:t>perform</w:t>
      </w:r>
      <w:r w:rsidRPr="6DE45102">
        <w:t xml:space="preserve"> </w:t>
      </w:r>
      <w:r w:rsidR="11A3100B" w:rsidRPr="6DE45102">
        <w:t xml:space="preserve">a series of “crosswalks” </w:t>
      </w:r>
      <w:r w:rsidR="00E76A23">
        <w:t xml:space="preserve">to assess </w:t>
      </w:r>
      <w:r w:rsidR="11A3100B" w:rsidRPr="6DE45102">
        <w:t xml:space="preserve">the extent of alignment between </w:t>
      </w:r>
      <w:r w:rsidR="00E76A23">
        <w:t xml:space="preserve">identified </w:t>
      </w:r>
      <w:r w:rsidR="11A3100B" w:rsidRPr="6DE45102">
        <w:t>accreditation</w:t>
      </w:r>
      <w:r w:rsidR="00E76A23">
        <w:t xml:space="preserve"> or certification</w:t>
      </w:r>
      <w:r w:rsidR="11A3100B" w:rsidRPr="6DE45102">
        <w:t xml:space="preserve"> programs and</w:t>
      </w:r>
      <w:r w:rsidR="00E76A23">
        <w:t xml:space="preserve"> the AHCCCS Targeted Investment (TI) 2.0 milestones. </w:t>
      </w:r>
      <w:r w:rsidR="00116725">
        <w:t>Specifically, AHCCCS asked that Bailit Health review the following accreditation or certification standards</w:t>
      </w:r>
      <w:r w:rsidR="00114690">
        <w:t xml:space="preserve"> and determine the degree of alignment with TI 2.0 milestones</w:t>
      </w:r>
      <w:r w:rsidR="00116725">
        <w:t xml:space="preserve">: </w:t>
      </w:r>
    </w:p>
    <w:p w14:paraId="27202757" w14:textId="77777777" w:rsidR="003335F3" w:rsidRDefault="003335F3" w:rsidP="00550347">
      <w:pPr>
        <w:pStyle w:val="ListParagraph"/>
        <w:numPr>
          <w:ilvl w:val="0"/>
          <w:numId w:val="17"/>
        </w:numPr>
        <w:spacing w:after="0"/>
      </w:pPr>
      <w:r w:rsidRPr="6DE45102">
        <w:t>The Commission on Accreditation of Rehabilitation Facilities (CARF)</w:t>
      </w:r>
      <w:r>
        <w:t xml:space="preserve"> </w:t>
      </w:r>
    </w:p>
    <w:p w14:paraId="1791F08D" w14:textId="7A15EF6C" w:rsidR="003335F3" w:rsidRDefault="003335F3" w:rsidP="00550347">
      <w:pPr>
        <w:pStyle w:val="ListParagraph"/>
        <w:numPr>
          <w:ilvl w:val="1"/>
          <w:numId w:val="17"/>
        </w:numPr>
        <w:spacing w:after="0"/>
      </w:pPr>
      <w:r>
        <w:t>Behavioral Health</w:t>
      </w:r>
      <w:r w:rsidR="00AC0C1F">
        <w:t xml:space="preserve"> (BH)</w:t>
      </w:r>
    </w:p>
    <w:p w14:paraId="54C61F12" w14:textId="77777777" w:rsidR="003335F3" w:rsidRDefault="003335F3" w:rsidP="00550347">
      <w:pPr>
        <w:pStyle w:val="ListParagraph"/>
        <w:numPr>
          <w:ilvl w:val="1"/>
          <w:numId w:val="17"/>
        </w:numPr>
        <w:spacing w:after="0"/>
      </w:pPr>
      <w:r w:rsidRPr="0024687F">
        <w:t>Employment and Community Services (ECS)</w:t>
      </w:r>
    </w:p>
    <w:p w14:paraId="4FA2EB2D" w14:textId="77777777" w:rsidR="003335F3" w:rsidRDefault="003335F3" w:rsidP="00550347">
      <w:pPr>
        <w:pStyle w:val="ListParagraph"/>
        <w:numPr>
          <w:ilvl w:val="1"/>
          <w:numId w:val="17"/>
        </w:numPr>
        <w:spacing w:after="0"/>
      </w:pPr>
      <w:r w:rsidRPr="00127A77">
        <w:t>Opioid Treatment Program</w:t>
      </w:r>
      <w:r>
        <w:t xml:space="preserve"> (OTP)</w:t>
      </w:r>
    </w:p>
    <w:p w14:paraId="6D88ECCE" w14:textId="6E2AF09E" w:rsidR="00E81024" w:rsidRDefault="00E81024" w:rsidP="00550347">
      <w:pPr>
        <w:pStyle w:val="ListParagraph"/>
        <w:numPr>
          <w:ilvl w:val="0"/>
          <w:numId w:val="17"/>
        </w:numPr>
        <w:spacing w:after="0"/>
      </w:pPr>
      <w:r>
        <w:t xml:space="preserve">Council on Accreditation / </w:t>
      </w:r>
      <w:r w:rsidRPr="6DE45102">
        <w:t>Social Current</w:t>
      </w:r>
    </w:p>
    <w:p w14:paraId="5300527F" w14:textId="77777777" w:rsidR="004E4E35" w:rsidRDefault="003335F3" w:rsidP="00550347">
      <w:pPr>
        <w:pStyle w:val="ListParagraph"/>
        <w:numPr>
          <w:ilvl w:val="0"/>
          <w:numId w:val="17"/>
        </w:numPr>
        <w:spacing w:after="0"/>
      </w:pPr>
      <w:r w:rsidRPr="6DE45102">
        <w:t>The Health Resources and Servies Administration (HRSA)</w:t>
      </w:r>
    </w:p>
    <w:p w14:paraId="1C4EC3FE" w14:textId="24BB48FC" w:rsidR="003335F3" w:rsidRDefault="003335F3" w:rsidP="00550347">
      <w:pPr>
        <w:pStyle w:val="ListParagraph"/>
        <w:numPr>
          <w:ilvl w:val="0"/>
          <w:numId w:val="17"/>
        </w:numPr>
        <w:spacing w:after="0"/>
      </w:pPr>
      <w:r w:rsidRPr="6DE45102">
        <w:t>The Joint Commission</w:t>
      </w:r>
    </w:p>
    <w:p w14:paraId="14C1AD56" w14:textId="77777777" w:rsidR="003335F3" w:rsidRDefault="003335F3" w:rsidP="00550347">
      <w:pPr>
        <w:pStyle w:val="ListParagraph"/>
        <w:numPr>
          <w:ilvl w:val="1"/>
          <w:numId w:val="17"/>
        </w:numPr>
        <w:spacing w:after="0"/>
      </w:pPr>
      <w:r>
        <w:t>Ambulatory Care</w:t>
      </w:r>
    </w:p>
    <w:p w14:paraId="65236959" w14:textId="77777777" w:rsidR="003335F3" w:rsidRDefault="003335F3" w:rsidP="00550347">
      <w:pPr>
        <w:pStyle w:val="ListParagraph"/>
        <w:numPr>
          <w:ilvl w:val="1"/>
          <w:numId w:val="17"/>
        </w:numPr>
        <w:spacing w:after="0"/>
      </w:pPr>
      <w:r>
        <w:t>Behavioral Health</w:t>
      </w:r>
    </w:p>
    <w:p w14:paraId="012732C7" w14:textId="5037F939" w:rsidR="004E4E35" w:rsidRDefault="004E4E35" w:rsidP="00550347">
      <w:pPr>
        <w:pStyle w:val="ListParagraph"/>
        <w:numPr>
          <w:ilvl w:val="0"/>
          <w:numId w:val="17"/>
        </w:numPr>
        <w:spacing w:after="0"/>
      </w:pPr>
      <w:r w:rsidRPr="6DE45102">
        <w:t>The National Committee for Quality Assurance (NCQA)</w:t>
      </w:r>
      <w:r>
        <w:t xml:space="preserve"> Patient-Centered Medical Home (PCMH)</w:t>
      </w:r>
    </w:p>
    <w:p w14:paraId="57C3E45A" w14:textId="1CEAEBFE" w:rsidR="00E81024" w:rsidRDefault="00E81024" w:rsidP="00550347">
      <w:pPr>
        <w:pStyle w:val="ListParagraph"/>
        <w:numPr>
          <w:ilvl w:val="0"/>
          <w:numId w:val="17"/>
        </w:numPr>
        <w:spacing w:after="0"/>
      </w:pPr>
      <w:r w:rsidRPr="6DE45102">
        <w:t>Substance Abuse and Mental Health Services Administration (SAMHSA)</w:t>
      </w:r>
      <w:r>
        <w:t xml:space="preserve"> </w:t>
      </w:r>
      <w:r w:rsidR="00384DE7" w:rsidRPr="00384DE7">
        <w:t>Certified Community Behavioral Health Clinics (CCBHCs)</w:t>
      </w:r>
    </w:p>
    <w:p w14:paraId="3F2E3E82" w14:textId="4F5F73A9" w:rsidR="002665FB" w:rsidRDefault="00334188" w:rsidP="00550347">
      <w:pPr>
        <w:pStyle w:val="ListParagraph"/>
        <w:numPr>
          <w:ilvl w:val="0"/>
          <w:numId w:val="17"/>
        </w:numPr>
        <w:spacing w:after="0"/>
      </w:pPr>
      <w:r w:rsidRPr="00334188">
        <w:t xml:space="preserve">Utilization </w:t>
      </w:r>
      <w:r w:rsidR="00055911">
        <w:t>R</w:t>
      </w:r>
      <w:r w:rsidRPr="00334188">
        <w:t xml:space="preserve">eview </w:t>
      </w:r>
      <w:r w:rsidR="00055911">
        <w:t>A</w:t>
      </w:r>
      <w:r w:rsidRPr="00334188">
        <w:t xml:space="preserve">ccreditation </w:t>
      </w:r>
      <w:r w:rsidR="00055911">
        <w:t>C</w:t>
      </w:r>
      <w:r w:rsidRPr="00334188">
        <w:t>ommission (URAC)</w:t>
      </w:r>
      <w:r w:rsidR="00B25940">
        <w:rPr>
          <w:rStyle w:val="FootnoteReference"/>
        </w:rPr>
        <w:footnoteReference w:id="2"/>
      </w:r>
    </w:p>
    <w:p w14:paraId="5C3F73B1" w14:textId="77777777" w:rsidR="00334188" w:rsidRDefault="00334188" w:rsidP="00550347">
      <w:pPr>
        <w:spacing w:after="0"/>
      </w:pPr>
    </w:p>
    <w:p w14:paraId="2B87FBFF" w14:textId="33233942" w:rsidR="00EC0A87" w:rsidRDefault="00E76A23" w:rsidP="00550347">
      <w:r>
        <w:t xml:space="preserve">This memo describes Bailit Health’s approach </w:t>
      </w:r>
      <w:r w:rsidR="00E41BD8">
        <w:t>to the crosswalks a</w:t>
      </w:r>
      <w:r w:rsidR="2BEA070E" w:rsidRPr="6DE45102">
        <w:t>nd</w:t>
      </w:r>
      <w:r w:rsidR="4D91BF9F" w:rsidRPr="6DE45102">
        <w:t xml:space="preserve"> </w:t>
      </w:r>
      <w:r w:rsidR="11B80337" w:rsidRPr="6DE45102">
        <w:t>provide</w:t>
      </w:r>
      <w:r w:rsidR="00E41BD8">
        <w:t>s</w:t>
      </w:r>
      <w:r w:rsidR="11B80337" w:rsidRPr="6DE45102">
        <w:t xml:space="preserve"> a summary </w:t>
      </w:r>
      <w:r w:rsidR="00E41BD8">
        <w:t>of our</w:t>
      </w:r>
      <w:r w:rsidR="11B80337" w:rsidRPr="6DE45102">
        <w:t xml:space="preserve"> findings</w:t>
      </w:r>
      <w:r w:rsidR="3506D30F" w:rsidRPr="6DE45102">
        <w:t>.</w:t>
      </w:r>
      <w:r w:rsidR="006C34C1">
        <w:t xml:space="preserve"> </w:t>
      </w:r>
      <w:r w:rsidR="00220D81">
        <w:t xml:space="preserve">We’ve provided the crosswalks as a separate attachment. </w:t>
      </w:r>
    </w:p>
    <w:p w14:paraId="124793A2" w14:textId="4B490276" w:rsidR="00E67195" w:rsidRPr="00E67195" w:rsidRDefault="00E67195" w:rsidP="00550347">
      <w:pPr>
        <w:pStyle w:val="ListParagraph"/>
        <w:numPr>
          <w:ilvl w:val="0"/>
          <w:numId w:val="16"/>
        </w:numPr>
        <w:rPr>
          <w:b/>
          <w:bCs/>
        </w:rPr>
      </w:pPr>
      <w:r w:rsidRPr="6DE45102">
        <w:rPr>
          <w:b/>
          <w:bCs/>
        </w:rPr>
        <w:t>Methodology</w:t>
      </w:r>
    </w:p>
    <w:p w14:paraId="4CF07A02" w14:textId="77777777" w:rsidR="00F146D7" w:rsidRDefault="32A85C4F" w:rsidP="00550347">
      <w:pPr>
        <w:shd w:val="clear" w:color="auto" w:fill="FFFFFF" w:themeFill="background1"/>
      </w:pPr>
      <w:r>
        <w:t>At the direction of AHCCCS, Bailit Health purchased</w:t>
      </w:r>
      <w:r w:rsidR="3482A0ED">
        <w:t xml:space="preserve"> (or where possible, accessed for free)</w:t>
      </w:r>
      <w:r>
        <w:t xml:space="preserve"> accreditation </w:t>
      </w:r>
      <w:r w:rsidR="00114690">
        <w:t xml:space="preserve">or certification </w:t>
      </w:r>
      <w:r w:rsidR="32463A13">
        <w:t xml:space="preserve">standards </w:t>
      </w:r>
      <w:r w:rsidR="00114690">
        <w:t xml:space="preserve">for the requested organizations. </w:t>
      </w:r>
      <w:r w:rsidR="5C0E739B">
        <w:t xml:space="preserve">Bailit Health </w:t>
      </w:r>
      <w:r w:rsidR="5C0E739B" w:rsidRPr="6DE45102">
        <w:t xml:space="preserve">reviewed each set of standards and </w:t>
      </w:r>
      <w:r w:rsidR="006A0B7B">
        <w:t>identified</w:t>
      </w:r>
      <w:r w:rsidR="18D2B616" w:rsidRPr="6DE45102">
        <w:t xml:space="preserve"> language </w:t>
      </w:r>
      <w:r w:rsidR="00B666FB">
        <w:t xml:space="preserve">from the standards </w:t>
      </w:r>
      <w:r w:rsidR="18D2B616" w:rsidRPr="6DE45102">
        <w:t>that related to each TI 2.0 milestone</w:t>
      </w:r>
      <w:r w:rsidR="00220D81">
        <w:t xml:space="preserve">. We developed a crosswalk table that includes the TI 2.0 milestones and the relevant standards language. </w:t>
      </w:r>
      <w:r w:rsidR="009F71A9">
        <w:rPr>
          <w:shd w:val="clear" w:color="auto" w:fill="FFFFFF" w:themeFill="background1"/>
        </w:rPr>
        <w:t xml:space="preserve">We </w:t>
      </w:r>
      <w:r w:rsidR="00B26375">
        <w:rPr>
          <w:shd w:val="clear" w:color="auto" w:fill="FFFFFF" w:themeFill="background1"/>
        </w:rPr>
        <w:t>found</w:t>
      </w:r>
      <w:r w:rsidR="009F71A9">
        <w:rPr>
          <w:shd w:val="clear" w:color="auto" w:fill="FFFFFF" w:themeFill="background1"/>
        </w:rPr>
        <w:t xml:space="preserve"> that s</w:t>
      </w:r>
      <w:r w:rsidR="009F71A9">
        <w:t>ome accreditation and certification programs, including NCQA’s PCMH, have optional standards. In addition, some program</w:t>
      </w:r>
      <w:r w:rsidR="00E571EA">
        <w:t xml:space="preserve"> </w:t>
      </w:r>
      <w:r w:rsidR="009F71A9">
        <w:lastRenderedPageBreak/>
        <w:t>standards apply</w:t>
      </w:r>
      <w:r w:rsidR="00B26375">
        <w:t xml:space="preserve"> based on the scope of services</w:t>
      </w:r>
      <w:r w:rsidR="009F71A9">
        <w:t xml:space="preserve"> or populations served by the organization seeking accreditation.</w:t>
      </w:r>
      <w:r w:rsidR="00B26375" w:rsidRPr="00B26375">
        <w:t xml:space="preserve"> </w:t>
      </w:r>
    </w:p>
    <w:p w14:paraId="5B7CE3A1" w14:textId="51EEB05B" w:rsidR="009F71A9" w:rsidRDefault="00B26375" w:rsidP="00550347">
      <w:pPr>
        <w:shd w:val="clear" w:color="auto" w:fill="FFFFFF" w:themeFill="background1"/>
        <w:rPr>
          <w:shd w:val="clear" w:color="auto" w:fill="FFC000"/>
        </w:rPr>
      </w:pPr>
      <w:r>
        <w:t>I</w:t>
      </w:r>
      <w:r w:rsidRPr="6DE45102">
        <w:t xml:space="preserve">f Bailit Health </w:t>
      </w:r>
      <w:r>
        <w:t>found alignment between the language</w:t>
      </w:r>
      <w:r w:rsidRPr="6DE45102">
        <w:t xml:space="preserve"> </w:t>
      </w:r>
      <w:r>
        <w:t xml:space="preserve">included in an organization’s standards and a TI 2.0 milestone, or </w:t>
      </w:r>
      <w:r w:rsidRPr="6DE45102">
        <w:t xml:space="preserve">a component of a </w:t>
      </w:r>
      <w:r>
        <w:t>milestone</w:t>
      </w:r>
      <w:r w:rsidRPr="6DE45102">
        <w:t xml:space="preserve">, we highlighted the relevant TI 2.0 text in </w:t>
      </w:r>
      <w:r w:rsidRPr="00A24839">
        <w:rPr>
          <w:shd w:val="clear" w:color="auto" w:fill="92D050"/>
        </w:rPr>
        <w:t>green</w:t>
      </w:r>
      <w:r w:rsidRPr="6DE45102">
        <w:t xml:space="preserve">. </w:t>
      </w:r>
      <w:r>
        <w:t xml:space="preserve">Where a component of a TI 2.0 milestone appeared to be satisfied by an optional/conditional standard of an accreditation program, we highlighted the relevant TI 2.0 text in </w:t>
      </w:r>
      <w:r w:rsidRPr="00D610A5">
        <w:rPr>
          <w:shd w:val="clear" w:color="auto" w:fill="FFC000"/>
        </w:rPr>
        <w:t>orange</w:t>
      </w:r>
      <w:r>
        <w:rPr>
          <w:shd w:val="clear" w:color="auto" w:fill="FFC000"/>
        </w:rPr>
        <w:t>.</w:t>
      </w:r>
    </w:p>
    <w:p w14:paraId="21ADA166" w14:textId="77777777" w:rsidR="006233DA" w:rsidRDefault="006233DA" w:rsidP="00550347">
      <w:pPr>
        <w:shd w:val="clear" w:color="auto" w:fill="FFFFFF" w:themeFill="background1"/>
        <w:rPr>
          <w:shd w:val="clear" w:color="auto" w:fill="FFFFFF" w:themeFill="background1"/>
        </w:rPr>
      </w:pPr>
      <w:r w:rsidRPr="00745FC5">
        <w:rPr>
          <w:shd w:val="clear" w:color="auto" w:fill="FFFFFF" w:themeFill="background1"/>
        </w:rPr>
        <w:t>At</w:t>
      </w:r>
      <w:r>
        <w:rPr>
          <w:shd w:val="clear" w:color="auto" w:fill="FFFFFF" w:themeFill="background1"/>
        </w:rPr>
        <w:t xml:space="preserve"> the top of each crosswalk document, as well as in Table 1 below, we provide a brief description of the relevant accreditation or certification standards and a high-level assessment of where there is alignment between the standards and the TI 2.0 milestones, if any. </w:t>
      </w:r>
    </w:p>
    <w:p w14:paraId="255E2471" w14:textId="6AD58CFD" w:rsidR="00D96997" w:rsidRPr="00D96997" w:rsidRDefault="00D96997" w:rsidP="00D96997">
      <w:pPr>
        <w:pStyle w:val="ListParagraph"/>
        <w:numPr>
          <w:ilvl w:val="0"/>
          <w:numId w:val="16"/>
        </w:numPr>
        <w:shd w:val="clear" w:color="auto" w:fill="FFFFFF" w:themeFill="background1"/>
        <w:rPr>
          <w:b/>
          <w:bCs/>
          <w:shd w:val="clear" w:color="auto" w:fill="FFFFFF" w:themeFill="background1"/>
        </w:rPr>
      </w:pPr>
      <w:r w:rsidRPr="00D96997">
        <w:rPr>
          <w:b/>
          <w:bCs/>
          <w:shd w:val="clear" w:color="auto" w:fill="FFFFFF" w:themeFill="background1"/>
        </w:rPr>
        <w:t>Key Findings and Summary Table</w:t>
      </w:r>
    </w:p>
    <w:p w14:paraId="2F43497E" w14:textId="1E00B544" w:rsidR="002627FE" w:rsidRDefault="00766054" w:rsidP="004B3ABD">
      <w:pPr>
        <w:shd w:val="clear" w:color="auto" w:fill="FFFFFF" w:themeFill="background1"/>
        <w:rPr>
          <w:shd w:val="clear" w:color="auto" w:fill="FFFFFF" w:themeFill="background1"/>
        </w:rPr>
      </w:pPr>
      <w:r>
        <w:rPr>
          <w:shd w:val="clear" w:color="auto" w:fill="FFFFFF" w:themeFill="background1"/>
        </w:rPr>
        <w:t xml:space="preserve">None of the programs that we reviewed satisfied all the TI 2.0 milestones, and rarely did a program’s standards meet all components </w:t>
      </w:r>
      <w:r w:rsidR="00843802">
        <w:rPr>
          <w:shd w:val="clear" w:color="auto" w:fill="FFFFFF" w:themeFill="background1"/>
        </w:rPr>
        <w:t xml:space="preserve">within </w:t>
      </w:r>
      <w:r>
        <w:rPr>
          <w:shd w:val="clear" w:color="auto" w:fill="FFFFFF" w:themeFill="background1"/>
        </w:rPr>
        <w:t xml:space="preserve">a single milestone. </w:t>
      </w:r>
      <w:r w:rsidR="009D29D4">
        <w:rPr>
          <w:shd w:val="clear" w:color="auto" w:fill="FFFFFF" w:themeFill="background1"/>
        </w:rPr>
        <w:t xml:space="preserve">In Table 1, </w:t>
      </w:r>
      <w:r w:rsidR="1EB83D3C">
        <w:rPr>
          <w:shd w:val="clear" w:color="auto" w:fill="FFFFFF" w:themeFill="background1"/>
        </w:rPr>
        <w:t xml:space="preserve">Bailit Health indicated that the TI 2.0 standards were “not met” by an </w:t>
      </w:r>
      <w:r w:rsidR="78EB61EA">
        <w:rPr>
          <w:shd w:val="clear" w:color="auto" w:fill="FFFFFF" w:themeFill="background1"/>
        </w:rPr>
        <w:t>accreditation</w:t>
      </w:r>
      <w:r w:rsidR="1EB83D3C">
        <w:rPr>
          <w:shd w:val="clear" w:color="auto" w:fill="FFFFFF" w:themeFill="background1"/>
        </w:rPr>
        <w:t xml:space="preserve"> or certification program where none of the TI 2.0 components </w:t>
      </w:r>
      <w:r w:rsidR="27FD5929">
        <w:rPr>
          <w:shd w:val="clear" w:color="auto" w:fill="FFFFFF" w:themeFill="background1"/>
        </w:rPr>
        <w:t xml:space="preserve">were </w:t>
      </w:r>
      <w:r w:rsidR="1EB83D3C">
        <w:rPr>
          <w:shd w:val="clear" w:color="auto" w:fill="FFFFFF" w:themeFill="background1"/>
        </w:rPr>
        <w:t xml:space="preserve">satisfied. </w:t>
      </w:r>
      <w:r w:rsidR="004B3ABD">
        <w:t xml:space="preserve">Bailit Health indicated that an accreditation or certification program “partially met” TI 2.0 milestones when there was </w:t>
      </w:r>
      <w:r w:rsidR="004B3ABD" w:rsidRPr="00F22466">
        <w:rPr>
          <w:i/>
          <w:iCs/>
        </w:rPr>
        <w:t>some</w:t>
      </w:r>
      <w:r w:rsidR="004B3ABD">
        <w:t xml:space="preserve"> alignment with certain components of one or more milestones</w:t>
      </w:r>
      <w:r w:rsidR="00EB0950">
        <w:t xml:space="preserve">. </w:t>
      </w:r>
      <w:r w:rsidR="00394B72">
        <w:t>Partially met applies</w:t>
      </w:r>
      <w:r w:rsidR="002627FE">
        <w:t xml:space="preserve"> </w:t>
      </w:r>
      <w:r w:rsidR="00EB0950">
        <w:t>when accreditation or certification standards</w:t>
      </w:r>
      <w:r w:rsidR="00394B72">
        <w:t>:</w:t>
      </w:r>
    </w:p>
    <w:p w14:paraId="535BE5BD" w14:textId="29DA1AFB" w:rsidR="002627FE" w:rsidRPr="00394B72" w:rsidRDefault="00373127" w:rsidP="00F22466">
      <w:pPr>
        <w:pStyle w:val="ListParagraph"/>
        <w:numPr>
          <w:ilvl w:val="0"/>
          <w:numId w:val="18"/>
        </w:numPr>
        <w:shd w:val="clear" w:color="auto" w:fill="FFFFFF" w:themeFill="background1"/>
        <w:spacing w:after="0"/>
        <w:rPr>
          <w:shd w:val="clear" w:color="auto" w:fill="FFFFFF" w:themeFill="background1"/>
        </w:rPr>
      </w:pPr>
      <w:r w:rsidRPr="00394B72">
        <w:rPr>
          <w:shd w:val="clear" w:color="auto" w:fill="FFFFFF" w:themeFill="background1"/>
        </w:rPr>
        <w:t>m</w:t>
      </w:r>
      <w:r w:rsidR="00394B72">
        <w:rPr>
          <w:shd w:val="clear" w:color="auto" w:fill="FFFFFF" w:themeFill="background1"/>
        </w:rPr>
        <w:t>e</w:t>
      </w:r>
      <w:r w:rsidRPr="00394B72">
        <w:rPr>
          <w:shd w:val="clear" w:color="auto" w:fill="FFFFFF" w:themeFill="background1"/>
        </w:rPr>
        <w:t xml:space="preserve">et multiple components of a single </w:t>
      </w:r>
      <w:proofErr w:type="gramStart"/>
      <w:r w:rsidRPr="00394B72">
        <w:rPr>
          <w:shd w:val="clear" w:color="auto" w:fill="FFFFFF" w:themeFill="background1"/>
        </w:rPr>
        <w:t>milestone</w:t>
      </w:r>
      <w:r w:rsidR="002627FE" w:rsidRPr="00394B72">
        <w:rPr>
          <w:shd w:val="clear" w:color="auto" w:fill="FFFFFF" w:themeFill="background1"/>
        </w:rPr>
        <w:t>;</w:t>
      </w:r>
      <w:proofErr w:type="gramEnd"/>
    </w:p>
    <w:p w14:paraId="64CD2C57" w14:textId="3D6EF846" w:rsidR="002627FE" w:rsidRPr="00394B72" w:rsidRDefault="00373127" w:rsidP="00F22466">
      <w:pPr>
        <w:pStyle w:val="ListParagraph"/>
        <w:numPr>
          <w:ilvl w:val="0"/>
          <w:numId w:val="18"/>
        </w:numPr>
        <w:shd w:val="clear" w:color="auto" w:fill="FFFFFF" w:themeFill="background1"/>
        <w:spacing w:after="0"/>
        <w:rPr>
          <w:shd w:val="clear" w:color="auto" w:fill="FFFFFF" w:themeFill="background1"/>
        </w:rPr>
      </w:pPr>
      <w:r w:rsidRPr="00394B72">
        <w:rPr>
          <w:shd w:val="clear" w:color="auto" w:fill="FFFFFF" w:themeFill="background1"/>
        </w:rPr>
        <w:t>m</w:t>
      </w:r>
      <w:r w:rsidR="00394B72">
        <w:rPr>
          <w:shd w:val="clear" w:color="auto" w:fill="FFFFFF" w:themeFill="background1"/>
        </w:rPr>
        <w:t>e</w:t>
      </w:r>
      <w:r w:rsidRPr="00394B72">
        <w:rPr>
          <w:shd w:val="clear" w:color="auto" w:fill="FFFFFF" w:themeFill="background1"/>
        </w:rPr>
        <w:t xml:space="preserve">et a single component of </w:t>
      </w:r>
      <w:r w:rsidR="006863C1">
        <w:rPr>
          <w:shd w:val="clear" w:color="auto" w:fill="FFFFFF" w:themeFill="background1"/>
        </w:rPr>
        <w:t xml:space="preserve">one or </w:t>
      </w:r>
      <w:r w:rsidRPr="00394B72">
        <w:rPr>
          <w:shd w:val="clear" w:color="auto" w:fill="FFFFFF" w:themeFill="background1"/>
        </w:rPr>
        <w:t>multiple milestones</w:t>
      </w:r>
      <w:r w:rsidR="002627FE" w:rsidRPr="00394B72">
        <w:rPr>
          <w:shd w:val="clear" w:color="auto" w:fill="FFFFFF" w:themeFill="background1"/>
        </w:rPr>
        <w:t>; or</w:t>
      </w:r>
    </w:p>
    <w:p w14:paraId="070D2E63" w14:textId="598E8891" w:rsidR="004B3ABD" w:rsidRPr="00394B72" w:rsidRDefault="002627FE" w:rsidP="00F22466">
      <w:pPr>
        <w:pStyle w:val="ListParagraph"/>
        <w:numPr>
          <w:ilvl w:val="0"/>
          <w:numId w:val="18"/>
        </w:numPr>
        <w:shd w:val="clear" w:color="auto" w:fill="FFFFFF" w:themeFill="background1"/>
        <w:spacing w:after="0"/>
        <w:rPr>
          <w:shd w:val="clear" w:color="auto" w:fill="FFFFFF" w:themeFill="background1"/>
        </w:rPr>
      </w:pPr>
      <w:r>
        <w:t>m</w:t>
      </w:r>
      <w:r w:rsidR="00394B72">
        <w:t>e</w:t>
      </w:r>
      <w:r>
        <w:t>et all components of one or mor</w:t>
      </w:r>
      <w:r w:rsidR="00394B72">
        <w:t>e milestones</w:t>
      </w:r>
      <w:r w:rsidR="00BA3878">
        <w:t xml:space="preserve"> </w:t>
      </w:r>
      <w:r w:rsidR="00394B72">
        <w:t>but not all milestones</w:t>
      </w:r>
      <w:r w:rsidR="00373127">
        <w:t xml:space="preserve">. </w:t>
      </w:r>
    </w:p>
    <w:p w14:paraId="0BC3857B" w14:textId="1FB94F54" w:rsidR="00766054" w:rsidRDefault="00766054" w:rsidP="00766054">
      <w:pPr>
        <w:shd w:val="clear" w:color="auto" w:fill="FFFFFF" w:themeFill="background1"/>
        <w:rPr>
          <w:shd w:val="clear" w:color="auto" w:fill="FFFFFF" w:themeFill="background1"/>
        </w:rPr>
      </w:pPr>
    </w:p>
    <w:p w14:paraId="01807A74" w14:textId="3CD7A278" w:rsidR="00CD2712" w:rsidRDefault="00CD2712">
      <w:pPr>
        <w:spacing w:after="0"/>
        <w:rPr>
          <w:b/>
          <w:bCs/>
        </w:rPr>
      </w:pPr>
    </w:p>
    <w:p w14:paraId="0257CA22" w14:textId="77777777" w:rsidR="007C7EB7" w:rsidRDefault="007C7EB7" w:rsidP="00D96997">
      <w:pPr>
        <w:rPr>
          <w:b/>
          <w:bCs/>
        </w:rPr>
        <w:sectPr w:rsidR="007C7EB7" w:rsidSect="00EC72A6">
          <w:footerReference w:type="default" r:id="rId12"/>
          <w:pgSz w:w="12240" w:h="15840"/>
          <w:pgMar w:top="1440" w:right="1584" w:bottom="1440" w:left="1584" w:header="720" w:footer="720" w:gutter="0"/>
          <w:cols w:space="720"/>
          <w:formProt w:val="0"/>
          <w:docGrid w:linePitch="299"/>
        </w:sectPr>
      </w:pPr>
    </w:p>
    <w:p w14:paraId="7DA0B268" w14:textId="45B9BC7A" w:rsidR="00E67195" w:rsidRDefault="00D96997" w:rsidP="00D96997">
      <w:pPr>
        <w:rPr>
          <w:b/>
          <w:bCs/>
        </w:rPr>
      </w:pPr>
      <w:r>
        <w:rPr>
          <w:b/>
          <w:bCs/>
        </w:rPr>
        <w:lastRenderedPageBreak/>
        <w:t xml:space="preserve">Table 1. Summary of Degree of Alignment </w:t>
      </w:r>
    </w:p>
    <w:tbl>
      <w:tblPr>
        <w:tblW w:w="136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3960"/>
        <w:gridCol w:w="1890"/>
        <w:gridCol w:w="6300"/>
      </w:tblGrid>
      <w:tr w:rsidR="001876B8" w:rsidRPr="001876B8" w14:paraId="0D768FE9" w14:textId="77777777" w:rsidTr="1F5510D8">
        <w:trPr>
          <w:trHeight w:val="299"/>
          <w:tblHeader/>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D7E5A65" w14:textId="77777777" w:rsidR="001876B8" w:rsidRPr="001876B8" w:rsidRDefault="001876B8" w:rsidP="00550347">
            <w:pPr>
              <w:spacing w:after="0"/>
              <w:jc w:val="center"/>
              <w:textAlignment w:val="baseline"/>
              <w:rPr>
                <w:rFonts w:cs="Segoe UI"/>
                <w:sz w:val="18"/>
                <w:szCs w:val="18"/>
              </w:rPr>
            </w:pPr>
            <w:r w:rsidRPr="001876B8">
              <w:rPr>
                <w:rFonts w:cs="Calibri"/>
                <w:b/>
                <w:bCs/>
                <w:sz w:val="20"/>
                <w:szCs w:val="20"/>
              </w:rPr>
              <w:t>Standards</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35E8F5D" w14:textId="77777777" w:rsidR="001876B8" w:rsidRPr="001876B8" w:rsidRDefault="001876B8" w:rsidP="00550347">
            <w:pPr>
              <w:spacing w:after="0"/>
              <w:jc w:val="center"/>
              <w:textAlignment w:val="baseline"/>
              <w:rPr>
                <w:rFonts w:cs="Segoe UI"/>
                <w:sz w:val="18"/>
                <w:szCs w:val="18"/>
              </w:rPr>
            </w:pPr>
            <w:r w:rsidRPr="001876B8">
              <w:rPr>
                <w:rFonts w:cs="Calibri"/>
                <w:b/>
                <w:bCs/>
                <w:sz w:val="20"/>
                <w:szCs w:val="20"/>
              </w:rPr>
              <w:t xml:space="preserve">Description </w:t>
            </w:r>
            <w:r w:rsidRPr="001876B8">
              <w:rPr>
                <w:rFonts w:cs="Calibri"/>
                <w:sz w:val="20"/>
                <w:szCs w:val="20"/>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2DAE9EE1" w14:textId="501B97A4" w:rsidR="001876B8" w:rsidRPr="001876B8" w:rsidRDefault="302383FA" w:rsidP="00550347">
            <w:pPr>
              <w:spacing w:after="0"/>
              <w:jc w:val="center"/>
              <w:textAlignment w:val="baseline"/>
              <w:rPr>
                <w:rFonts w:cs="Segoe UI"/>
                <w:sz w:val="18"/>
                <w:szCs w:val="18"/>
              </w:rPr>
            </w:pPr>
            <w:r w:rsidRPr="1F5510D8">
              <w:rPr>
                <w:rFonts w:cs="Calibri"/>
                <w:b/>
                <w:bCs/>
                <w:sz w:val="20"/>
                <w:szCs w:val="20"/>
              </w:rPr>
              <w:t>Assessment</w:t>
            </w:r>
            <w:r w:rsidR="53E80C70" w:rsidRPr="1F5510D8">
              <w:rPr>
                <w:rFonts w:cs="Calibri"/>
                <w:sz w:val="20"/>
                <w:szCs w:val="20"/>
              </w:rPr>
              <w: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2F2F2" w:themeFill="background1" w:themeFillShade="F2"/>
            <w:hideMark/>
          </w:tcPr>
          <w:p w14:paraId="1F11EB24" w14:textId="77777777" w:rsidR="001876B8" w:rsidRPr="001876B8" w:rsidRDefault="001876B8" w:rsidP="00550347">
            <w:pPr>
              <w:spacing w:after="0"/>
              <w:jc w:val="center"/>
              <w:textAlignment w:val="baseline"/>
              <w:rPr>
                <w:rFonts w:cs="Segoe UI"/>
                <w:sz w:val="18"/>
                <w:szCs w:val="18"/>
              </w:rPr>
            </w:pPr>
            <w:r w:rsidRPr="001876B8">
              <w:rPr>
                <w:rFonts w:cs="Calibri"/>
                <w:b/>
                <w:bCs/>
                <w:sz w:val="20"/>
                <w:szCs w:val="20"/>
              </w:rPr>
              <w:t>Crosswalk Details</w:t>
            </w:r>
            <w:r w:rsidRPr="001876B8">
              <w:rPr>
                <w:rFonts w:cs="Calibri"/>
                <w:sz w:val="20"/>
                <w:szCs w:val="20"/>
              </w:rPr>
              <w:t> </w:t>
            </w:r>
          </w:p>
        </w:tc>
      </w:tr>
      <w:tr w:rsidR="001876B8" w:rsidRPr="001876B8" w14:paraId="0E2BDC10" w14:textId="77777777" w:rsidTr="1F5510D8">
        <w:trPr>
          <w:trHeight w:val="299"/>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87B8A3B" w14:textId="77777777" w:rsidR="001876B8" w:rsidRPr="001876B8" w:rsidRDefault="001876B8" w:rsidP="00550347">
            <w:pPr>
              <w:spacing w:after="0"/>
              <w:textAlignment w:val="baseline"/>
              <w:rPr>
                <w:rFonts w:cs="Segoe UI"/>
                <w:sz w:val="18"/>
                <w:szCs w:val="18"/>
              </w:rPr>
            </w:pPr>
            <w:r w:rsidRPr="001876B8">
              <w:rPr>
                <w:rFonts w:cs="Calibri"/>
                <w:b/>
                <w:bCs/>
                <w:sz w:val="20"/>
                <w:szCs w:val="20"/>
              </w:rPr>
              <w:t>CARF Behavioral Health (BH)</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672AFD5" w14:textId="17DA2DBE" w:rsidR="001876B8" w:rsidRPr="001876B8" w:rsidRDefault="001876B8" w:rsidP="00550347">
            <w:pPr>
              <w:spacing w:after="0"/>
              <w:textAlignment w:val="baseline"/>
              <w:rPr>
                <w:rFonts w:cs="Segoe UI"/>
                <w:sz w:val="18"/>
                <w:szCs w:val="18"/>
              </w:rPr>
            </w:pPr>
            <w:r w:rsidRPr="001876B8">
              <w:rPr>
                <w:rFonts w:cs="Calibri"/>
                <w:sz w:val="20"/>
                <w:szCs w:val="20"/>
              </w:rPr>
              <w:t>CARF BH standards</w:t>
            </w:r>
            <w:r w:rsidR="00A046FF">
              <w:rPr>
                <w:rFonts w:cs="Calibri"/>
                <w:sz w:val="20"/>
                <w:szCs w:val="20"/>
              </w:rPr>
              <w:t xml:space="preserve"> establish an accreditation framework for behavioral health organizations that </w:t>
            </w:r>
            <w:r w:rsidR="00BC5A3B">
              <w:rPr>
                <w:rFonts w:cs="Calibri"/>
                <w:sz w:val="20"/>
                <w:szCs w:val="20"/>
              </w:rPr>
              <w:t>provide “</w:t>
            </w:r>
            <w:r w:rsidR="00A046FF" w:rsidRPr="00A046FF">
              <w:rPr>
                <w:rFonts w:cs="Calibri"/>
                <w:sz w:val="20"/>
                <w:szCs w:val="20"/>
              </w:rPr>
              <w:t>programs and services for integrated behavioral health, mental health, substance use disorders/addictions, psychosocial rehabilitation, and family services.”</w:t>
            </w:r>
            <w:r w:rsidR="00A046FF">
              <w:rPr>
                <w:rStyle w:val="FootnoteReference"/>
                <w:rFonts w:cs="Calibri"/>
                <w:sz w:val="20"/>
                <w:szCs w:val="20"/>
              </w:rPr>
              <w:footnoteReference w:id="3"/>
            </w:r>
            <w:r w:rsidR="00A046FF" w:rsidRPr="001876B8">
              <w:rPr>
                <w:rFonts w:cs="Calibri"/>
                <w:sz w:val="20"/>
                <w:szCs w:val="20"/>
              </w:rPr>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8D05347" w14:textId="77777777" w:rsidR="001876B8" w:rsidRPr="001876B8" w:rsidRDefault="001876B8" w:rsidP="00550347">
            <w:pPr>
              <w:spacing w:after="0"/>
              <w:textAlignment w:val="baseline"/>
              <w:rPr>
                <w:rFonts w:cs="Segoe UI"/>
                <w:sz w:val="18"/>
                <w:szCs w:val="18"/>
              </w:rPr>
            </w:pPr>
            <w:r w:rsidRPr="001876B8">
              <w:rPr>
                <w:rFonts w:cs="Calibri"/>
                <w:sz w:val="20"/>
                <w:szCs w:val="20"/>
              </w:rPr>
              <w:t>Partially Met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741B344" w14:textId="7DD96C3C" w:rsidR="001876B8" w:rsidRDefault="001876B8" w:rsidP="00550347">
            <w:pPr>
              <w:spacing w:after="0"/>
              <w:textAlignment w:val="baseline"/>
              <w:rPr>
                <w:rFonts w:cs="Calibri"/>
                <w:sz w:val="20"/>
                <w:szCs w:val="20"/>
              </w:rPr>
            </w:pPr>
            <w:r w:rsidRPr="001876B8">
              <w:rPr>
                <w:rFonts w:cs="Calibri"/>
                <w:sz w:val="20"/>
                <w:szCs w:val="20"/>
              </w:rPr>
              <w:t xml:space="preserve">CARF BH standards partially satisfy TI 2.0 milestones, particularly around </w:t>
            </w:r>
            <w:r w:rsidR="000319EA" w:rsidRPr="001876B8">
              <w:rPr>
                <w:rFonts w:cs="Calibri"/>
                <w:sz w:val="20"/>
                <w:szCs w:val="20"/>
              </w:rPr>
              <w:t>Culturally and Linguistically Appropriate Services (CLAS),</w:t>
            </w:r>
            <w:r w:rsidRPr="001876B8">
              <w:rPr>
                <w:rFonts w:cs="Calibri"/>
                <w:sz w:val="20"/>
                <w:szCs w:val="20"/>
              </w:rPr>
              <w:t xml:space="preserve"> tobacco cessation, and care coordination.</w:t>
            </w:r>
            <w:r w:rsidR="000319EA">
              <w:rPr>
                <w:rFonts w:cs="Calibri"/>
                <w:sz w:val="20"/>
                <w:szCs w:val="20"/>
              </w:rPr>
              <w:t xml:space="preserve"> </w:t>
            </w:r>
          </w:p>
          <w:p w14:paraId="1CE5A320" w14:textId="77777777" w:rsidR="002B5768" w:rsidRDefault="002B5768" w:rsidP="00550347">
            <w:pPr>
              <w:spacing w:after="0"/>
              <w:textAlignment w:val="baseline"/>
              <w:rPr>
                <w:rFonts w:cs="Calibri"/>
                <w:sz w:val="18"/>
                <w:szCs w:val="18"/>
              </w:rPr>
            </w:pPr>
          </w:p>
          <w:p w14:paraId="3B17768D" w14:textId="74D7EA6F" w:rsidR="002B5768" w:rsidRPr="001876B8" w:rsidRDefault="002B5768" w:rsidP="00550347">
            <w:pPr>
              <w:spacing w:after="0"/>
              <w:textAlignment w:val="baseline"/>
              <w:rPr>
                <w:rFonts w:cs="Segoe UI"/>
                <w:sz w:val="18"/>
                <w:szCs w:val="18"/>
              </w:rPr>
            </w:pPr>
          </w:p>
        </w:tc>
      </w:tr>
      <w:tr w:rsidR="001876B8" w:rsidRPr="001876B8" w14:paraId="18361D14" w14:textId="77777777" w:rsidTr="1F5510D8">
        <w:trPr>
          <w:trHeight w:val="299"/>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3A60750" w14:textId="77777777" w:rsidR="001876B8" w:rsidRPr="001876B8" w:rsidRDefault="001876B8" w:rsidP="00550347">
            <w:pPr>
              <w:spacing w:after="0"/>
              <w:textAlignment w:val="baseline"/>
              <w:rPr>
                <w:rFonts w:cs="Segoe UI"/>
                <w:sz w:val="18"/>
                <w:szCs w:val="18"/>
              </w:rPr>
            </w:pPr>
            <w:r w:rsidRPr="001876B8">
              <w:rPr>
                <w:rFonts w:cs="Calibri"/>
                <w:b/>
                <w:bCs/>
                <w:sz w:val="20"/>
                <w:szCs w:val="20"/>
              </w:rPr>
              <w:t>CARF Opioid Treatment Program (OTP)</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3735610" w14:textId="64C05C45" w:rsidR="001876B8" w:rsidRPr="001876B8" w:rsidRDefault="001876B8" w:rsidP="00550347">
            <w:pPr>
              <w:spacing w:after="0"/>
              <w:textAlignment w:val="baseline"/>
              <w:rPr>
                <w:rFonts w:cs="Segoe UI"/>
                <w:sz w:val="18"/>
                <w:szCs w:val="18"/>
              </w:rPr>
            </w:pPr>
            <w:r w:rsidRPr="001876B8">
              <w:rPr>
                <w:rFonts w:cs="Calibri"/>
                <w:sz w:val="20"/>
                <w:szCs w:val="20"/>
              </w:rPr>
              <w:t xml:space="preserve">CARF </w:t>
            </w:r>
            <w:r w:rsidR="003E77E9">
              <w:rPr>
                <w:rFonts w:cs="Calibri"/>
                <w:sz w:val="20"/>
                <w:szCs w:val="20"/>
              </w:rPr>
              <w:t xml:space="preserve">accredits </w:t>
            </w:r>
            <w:r w:rsidR="003E77E9" w:rsidRPr="00CE5210">
              <w:rPr>
                <w:sz w:val="20"/>
                <w:szCs w:val="20"/>
              </w:rPr>
              <w:t>Opioid Treatment Programs (OTPs), which “provide medication-assisted treatment for persons diagnosed with opioid use disorder using any of three FDA-approved medications (methadone, buprenorphine, and naltrexone).”</w:t>
            </w:r>
            <w:r w:rsidR="003E77E9" w:rsidRPr="00CE5210">
              <w:rPr>
                <w:rStyle w:val="FootnoteReference"/>
                <w:sz w:val="20"/>
                <w:szCs w:val="20"/>
              </w:rPr>
              <w:footnoteReference w:id="4"/>
            </w:r>
            <w:r w:rsidR="003E77E9">
              <w:t xml:space="preserv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AB98107" w14:textId="77777777" w:rsidR="001876B8" w:rsidRPr="001876B8" w:rsidRDefault="001876B8" w:rsidP="00550347">
            <w:pPr>
              <w:spacing w:after="0"/>
              <w:textAlignment w:val="baseline"/>
              <w:rPr>
                <w:rFonts w:cs="Segoe UI"/>
                <w:sz w:val="18"/>
                <w:szCs w:val="18"/>
              </w:rPr>
            </w:pPr>
            <w:r w:rsidRPr="001876B8">
              <w:rPr>
                <w:rFonts w:cs="Calibri"/>
                <w:sz w:val="20"/>
                <w:szCs w:val="20"/>
              </w:rPr>
              <w:t>Partially Met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959F41D" w14:textId="77777777" w:rsidR="003D3AC1" w:rsidRDefault="001876B8" w:rsidP="00550347">
            <w:pPr>
              <w:spacing w:after="0"/>
              <w:textAlignment w:val="baseline"/>
              <w:rPr>
                <w:rFonts w:cs="Calibri"/>
                <w:sz w:val="20"/>
                <w:szCs w:val="20"/>
              </w:rPr>
            </w:pPr>
            <w:r w:rsidRPr="001876B8">
              <w:rPr>
                <w:rFonts w:cs="Calibri"/>
                <w:sz w:val="20"/>
                <w:szCs w:val="20"/>
              </w:rPr>
              <w:t xml:space="preserve">For the most part, CARF OTP standards do not satisfy the TI 2.0 milestones. </w:t>
            </w:r>
          </w:p>
          <w:p w14:paraId="63E9485B" w14:textId="77777777" w:rsidR="003D3AC1" w:rsidRDefault="003D3AC1" w:rsidP="00550347">
            <w:pPr>
              <w:spacing w:after="0"/>
              <w:textAlignment w:val="baseline"/>
              <w:rPr>
                <w:rFonts w:cs="Calibri"/>
                <w:sz w:val="20"/>
                <w:szCs w:val="20"/>
              </w:rPr>
            </w:pPr>
          </w:p>
          <w:p w14:paraId="09979B86" w14:textId="24FB68D1" w:rsidR="001876B8" w:rsidRPr="001876B8" w:rsidRDefault="001876B8" w:rsidP="00550347">
            <w:pPr>
              <w:spacing w:after="0"/>
              <w:textAlignment w:val="baseline"/>
              <w:rPr>
                <w:rFonts w:cs="Segoe UI"/>
                <w:sz w:val="18"/>
                <w:szCs w:val="18"/>
              </w:rPr>
            </w:pPr>
            <w:r w:rsidRPr="001876B8">
              <w:rPr>
                <w:rFonts w:cs="Calibri"/>
                <w:sz w:val="20"/>
                <w:szCs w:val="20"/>
              </w:rPr>
              <w:t xml:space="preserve">However, there are </w:t>
            </w:r>
            <w:r w:rsidR="00871F9A">
              <w:rPr>
                <w:rFonts w:cs="Calibri"/>
                <w:sz w:val="20"/>
                <w:szCs w:val="20"/>
              </w:rPr>
              <w:t xml:space="preserve">some aspects of the standards that align more closely with components of the TI 2.0 milestones, including </w:t>
            </w:r>
            <w:r w:rsidRPr="001876B8">
              <w:rPr>
                <w:rFonts w:cs="Calibri"/>
                <w:sz w:val="20"/>
                <w:szCs w:val="20"/>
              </w:rPr>
              <w:t>around tobacco cessation and care coordination.  </w:t>
            </w:r>
          </w:p>
        </w:tc>
      </w:tr>
      <w:tr w:rsidR="001876B8" w:rsidRPr="001876B8" w14:paraId="3D2F6AA5" w14:textId="77777777" w:rsidTr="1F5510D8">
        <w:trPr>
          <w:trHeight w:val="299"/>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F0640FC" w14:textId="77777777" w:rsidR="001876B8" w:rsidRPr="001876B8" w:rsidRDefault="001876B8" w:rsidP="00550347">
            <w:pPr>
              <w:spacing w:after="0"/>
              <w:textAlignment w:val="baseline"/>
              <w:rPr>
                <w:rFonts w:cs="Segoe UI"/>
                <w:sz w:val="18"/>
                <w:szCs w:val="18"/>
              </w:rPr>
            </w:pPr>
            <w:r w:rsidRPr="001876B8">
              <w:rPr>
                <w:rFonts w:cs="Calibri"/>
                <w:b/>
                <w:bCs/>
                <w:sz w:val="20"/>
                <w:szCs w:val="20"/>
              </w:rPr>
              <w:t>CARF Employment and Community Services (ECS)</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DF7F0A4" w14:textId="4699E0E3" w:rsidR="001876B8" w:rsidRPr="001876B8" w:rsidRDefault="001876B8" w:rsidP="00550347">
            <w:pPr>
              <w:spacing w:after="0"/>
              <w:textAlignment w:val="baseline"/>
              <w:rPr>
                <w:rFonts w:cs="Segoe UI"/>
                <w:sz w:val="18"/>
                <w:szCs w:val="18"/>
              </w:rPr>
            </w:pPr>
            <w:r w:rsidRPr="001876B8">
              <w:rPr>
                <w:rFonts w:cs="Calibri"/>
                <w:sz w:val="20"/>
                <w:szCs w:val="20"/>
              </w:rPr>
              <w:t xml:space="preserve">CARF ECS standards </w:t>
            </w:r>
            <w:r w:rsidR="002C37BC">
              <w:rPr>
                <w:rFonts w:cs="Calibri"/>
                <w:sz w:val="20"/>
                <w:szCs w:val="20"/>
              </w:rPr>
              <w:t>provide an accreditation framework for programs and services that provide employment and life skill development and support for persons to live and work as independently as possible.</w:t>
            </w:r>
            <w:r w:rsidR="002C37BC">
              <w:rPr>
                <w:rStyle w:val="FootnoteReference"/>
                <w:rFonts w:cs="Calibri"/>
                <w:sz w:val="20"/>
                <w:szCs w:val="20"/>
              </w:rPr>
              <w:footnoteReference w:id="5"/>
            </w:r>
            <w:r w:rsidRPr="001876B8">
              <w:rPr>
                <w:rFonts w:cs="Calibri"/>
                <w:sz w:val="20"/>
                <w:szCs w:val="20"/>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BD7AF67" w14:textId="77777777" w:rsidR="001876B8" w:rsidRPr="001876B8" w:rsidRDefault="001876B8" w:rsidP="00550347">
            <w:pPr>
              <w:spacing w:after="0"/>
              <w:textAlignment w:val="baseline"/>
              <w:rPr>
                <w:rFonts w:cs="Segoe UI"/>
                <w:sz w:val="18"/>
                <w:szCs w:val="18"/>
              </w:rPr>
            </w:pPr>
            <w:r w:rsidRPr="001876B8">
              <w:rPr>
                <w:rFonts w:cs="Calibri"/>
                <w:sz w:val="20"/>
                <w:szCs w:val="20"/>
              </w:rPr>
              <w:t>Not Met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C70C481" w14:textId="735C1C26" w:rsidR="001876B8" w:rsidRPr="001876B8" w:rsidRDefault="00A80B50" w:rsidP="00550347">
            <w:pPr>
              <w:spacing w:after="0"/>
              <w:textAlignment w:val="baseline"/>
              <w:rPr>
                <w:rFonts w:cs="Segoe UI"/>
                <w:sz w:val="18"/>
                <w:szCs w:val="18"/>
              </w:rPr>
            </w:pPr>
            <w:r>
              <w:rPr>
                <w:rFonts w:cs="Calibri"/>
                <w:sz w:val="20"/>
                <w:szCs w:val="20"/>
              </w:rPr>
              <w:t xml:space="preserve">There are some elements of the CARF ECS standards that </w:t>
            </w:r>
            <w:r w:rsidR="003D3AC1">
              <w:rPr>
                <w:rFonts w:cs="Calibri"/>
                <w:sz w:val="20"/>
                <w:szCs w:val="20"/>
              </w:rPr>
              <w:t xml:space="preserve">broadly pertain to the TI 2.0 milestones, but not directly enough to </w:t>
            </w:r>
            <w:r w:rsidR="00DB2817">
              <w:rPr>
                <w:rFonts w:cs="Calibri"/>
                <w:sz w:val="20"/>
                <w:szCs w:val="20"/>
              </w:rPr>
              <w:t>satisfy any milestones</w:t>
            </w:r>
            <w:r w:rsidR="00C9519F">
              <w:rPr>
                <w:rFonts w:cs="Calibri"/>
                <w:sz w:val="20"/>
                <w:szCs w:val="20"/>
              </w:rPr>
              <w:t xml:space="preserve"> or milestone components. </w:t>
            </w:r>
            <w:r w:rsidR="00DB2817">
              <w:rPr>
                <w:rFonts w:cs="Calibri"/>
                <w:sz w:val="20"/>
                <w:szCs w:val="20"/>
              </w:rPr>
              <w:t xml:space="preserve"> </w:t>
            </w:r>
            <w:r w:rsidR="001876B8" w:rsidRPr="001876B8">
              <w:rPr>
                <w:rFonts w:cs="Calibri"/>
                <w:sz w:val="20"/>
                <w:szCs w:val="20"/>
              </w:rPr>
              <w:t> </w:t>
            </w:r>
          </w:p>
        </w:tc>
      </w:tr>
      <w:tr w:rsidR="001876B8" w:rsidRPr="001876B8" w14:paraId="1A07111A" w14:textId="77777777" w:rsidTr="1F5510D8">
        <w:trPr>
          <w:trHeight w:val="299"/>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F1B176D" w14:textId="77777777" w:rsidR="001876B8" w:rsidRPr="001876B8" w:rsidRDefault="001876B8" w:rsidP="00550347">
            <w:pPr>
              <w:spacing w:after="0"/>
              <w:textAlignment w:val="baseline"/>
              <w:rPr>
                <w:rFonts w:cs="Segoe UI"/>
                <w:sz w:val="18"/>
                <w:szCs w:val="18"/>
              </w:rPr>
            </w:pPr>
            <w:r w:rsidRPr="001876B8">
              <w:rPr>
                <w:rFonts w:cs="Calibri"/>
                <w:b/>
                <w:bCs/>
                <w:sz w:val="20"/>
                <w:szCs w:val="20"/>
              </w:rPr>
              <w:t>NCQA Patient-Centered Medical Home (PCMH)</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5EA87C" w14:textId="0BB13709" w:rsidR="001876B8" w:rsidRPr="001876B8" w:rsidRDefault="001876B8" w:rsidP="00550347">
            <w:pPr>
              <w:spacing w:after="0"/>
              <w:textAlignment w:val="baseline"/>
              <w:rPr>
                <w:rFonts w:cs="Segoe UI"/>
                <w:sz w:val="18"/>
                <w:szCs w:val="18"/>
              </w:rPr>
            </w:pPr>
            <w:r w:rsidRPr="001876B8">
              <w:rPr>
                <w:rFonts w:cs="Calibri"/>
                <w:sz w:val="20"/>
                <w:szCs w:val="20"/>
              </w:rPr>
              <w:t xml:space="preserve">To meet the NCQA PCMH standards, </w:t>
            </w:r>
            <w:r w:rsidR="003DC2BD" w:rsidRPr="1F5510D8">
              <w:rPr>
                <w:rFonts w:cs="Calibri"/>
                <w:sz w:val="20"/>
                <w:szCs w:val="20"/>
              </w:rPr>
              <w:t>primary care medical practices</w:t>
            </w:r>
            <w:r w:rsidRPr="001876B8">
              <w:rPr>
                <w:rFonts w:cs="Calibri"/>
                <w:sz w:val="20"/>
                <w:szCs w:val="20"/>
              </w:rPr>
              <w:t xml:space="preserve"> must meet all core requirements. In addition, they must gain 25 points by meeting a combination of elective requirements, which are assigned a specific number of points. Therefore, whether </w:t>
            </w:r>
            <w:r w:rsidR="53E80C70" w:rsidRPr="1F5510D8">
              <w:rPr>
                <w:rFonts w:cs="Calibri"/>
                <w:sz w:val="20"/>
                <w:szCs w:val="20"/>
              </w:rPr>
              <w:t>a</w:t>
            </w:r>
            <w:r w:rsidR="2DC064DC" w:rsidRPr="1F5510D8">
              <w:rPr>
                <w:rFonts w:cs="Calibri"/>
                <w:sz w:val="20"/>
                <w:szCs w:val="20"/>
              </w:rPr>
              <w:t xml:space="preserve"> practice</w:t>
            </w:r>
            <w:r w:rsidRPr="001876B8">
              <w:rPr>
                <w:rFonts w:cs="Calibri"/>
                <w:sz w:val="20"/>
                <w:szCs w:val="20"/>
              </w:rPr>
              <w:t xml:space="preserve"> fulfills the elective </w:t>
            </w:r>
            <w:r w:rsidRPr="001876B8">
              <w:rPr>
                <w:rFonts w:cs="Calibri"/>
                <w:sz w:val="20"/>
                <w:szCs w:val="20"/>
              </w:rPr>
              <w:lastRenderedPageBreak/>
              <w:t>requirements must be determined on a case-by-case basis.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3726880" w14:textId="77777777" w:rsidR="001876B8" w:rsidRPr="001876B8" w:rsidRDefault="001876B8" w:rsidP="00550347">
            <w:pPr>
              <w:spacing w:after="0"/>
              <w:textAlignment w:val="baseline"/>
              <w:rPr>
                <w:rFonts w:cs="Segoe UI"/>
                <w:sz w:val="18"/>
                <w:szCs w:val="18"/>
              </w:rPr>
            </w:pPr>
            <w:r w:rsidRPr="001876B8">
              <w:rPr>
                <w:rFonts w:cs="Calibri"/>
                <w:sz w:val="20"/>
                <w:szCs w:val="20"/>
              </w:rPr>
              <w:lastRenderedPageBreak/>
              <w:t>Partially Met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1FCCF7" w14:textId="32BDDA8C" w:rsidR="001876B8" w:rsidRPr="001876B8" w:rsidRDefault="001876B8" w:rsidP="00550347">
            <w:pPr>
              <w:spacing w:after="0"/>
              <w:textAlignment w:val="baseline"/>
              <w:rPr>
                <w:rFonts w:cs="Segoe UI"/>
                <w:sz w:val="18"/>
                <w:szCs w:val="18"/>
              </w:rPr>
            </w:pPr>
            <w:r w:rsidRPr="001876B8">
              <w:rPr>
                <w:rFonts w:cs="Calibri"/>
                <w:sz w:val="20"/>
                <w:szCs w:val="20"/>
              </w:rPr>
              <w:t xml:space="preserve">Only one </w:t>
            </w:r>
            <w:r w:rsidR="714CCB93" w:rsidRPr="1F5510D8">
              <w:rPr>
                <w:rFonts w:cs="Calibri"/>
                <w:sz w:val="20"/>
                <w:szCs w:val="20"/>
              </w:rPr>
              <w:t xml:space="preserve">component </w:t>
            </w:r>
            <w:r w:rsidRPr="001876B8">
              <w:rPr>
                <w:rFonts w:cs="Calibri"/>
                <w:sz w:val="20"/>
                <w:szCs w:val="20"/>
              </w:rPr>
              <w:t xml:space="preserve">of </w:t>
            </w:r>
            <w:r w:rsidR="00D140DC">
              <w:rPr>
                <w:rFonts w:cs="Calibri"/>
                <w:sz w:val="20"/>
                <w:szCs w:val="20"/>
              </w:rPr>
              <w:t>a</w:t>
            </w:r>
            <w:r w:rsidRPr="001876B8">
              <w:rPr>
                <w:rFonts w:cs="Calibri"/>
                <w:sz w:val="20"/>
                <w:szCs w:val="20"/>
              </w:rPr>
              <w:t xml:space="preserve"> TI 2.0 </w:t>
            </w:r>
            <w:r w:rsidR="23E7B0C9" w:rsidRPr="1F5510D8">
              <w:rPr>
                <w:rFonts w:cs="Calibri"/>
                <w:sz w:val="20"/>
                <w:szCs w:val="20"/>
              </w:rPr>
              <w:t>milestone</w:t>
            </w:r>
            <w:r w:rsidR="5C905582" w:rsidRPr="1F5510D8">
              <w:rPr>
                <w:rFonts w:cs="Calibri"/>
                <w:sz w:val="20"/>
                <w:szCs w:val="20"/>
              </w:rPr>
              <w:t xml:space="preserve"> </w:t>
            </w:r>
            <w:r w:rsidRPr="001876B8">
              <w:rPr>
                <w:rFonts w:cs="Calibri"/>
                <w:sz w:val="20"/>
                <w:szCs w:val="20"/>
              </w:rPr>
              <w:t xml:space="preserve">is achieved via a core NCQA PCMH standard, which is to screen members for health-related social needs. Several other criteria pertaining to </w:t>
            </w:r>
            <w:r w:rsidR="004809D9" w:rsidRPr="34D18D4F">
              <w:rPr>
                <w:rFonts w:cs="Calibri"/>
                <w:sz w:val="20"/>
                <w:szCs w:val="20"/>
              </w:rPr>
              <w:t>health-relate</w:t>
            </w:r>
            <w:r w:rsidR="24CD4B92" w:rsidRPr="34D18D4F">
              <w:rPr>
                <w:rFonts w:cs="Calibri"/>
                <w:sz w:val="20"/>
                <w:szCs w:val="20"/>
              </w:rPr>
              <w:t xml:space="preserve">d </w:t>
            </w:r>
            <w:r w:rsidR="004809D9" w:rsidRPr="34D18D4F">
              <w:rPr>
                <w:rFonts w:cs="Calibri"/>
                <w:sz w:val="20"/>
                <w:szCs w:val="20"/>
              </w:rPr>
              <w:t>social needs (</w:t>
            </w:r>
            <w:r w:rsidRPr="001876B8">
              <w:rPr>
                <w:rFonts w:cs="Calibri"/>
                <w:sz w:val="20"/>
                <w:szCs w:val="20"/>
              </w:rPr>
              <w:t>HRSNs</w:t>
            </w:r>
            <w:r w:rsidR="004809D9" w:rsidRPr="34D18D4F">
              <w:rPr>
                <w:rFonts w:cs="Calibri"/>
                <w:sz w:val="20"/>
                <w:szCs w:val="20"/>
              </w:rPr>
              <w:t>)</w:t>
            </w:r>
            <w:r w:rsidR="53E80C70" w:rsidRPr="34D18D4F">
              <w:rPr>
                <w:rFonts w:cs="Calibri"/>
                <w:sz w:val="20"/>
                <w:szCs w:val="20"/>
              </w:rPr>
              <w:t>,</w:t>
            </w:r>
            <w:r w:rsidRPr="001876B8">
              <w:rPr>
                <w:rFonts w:cs="Calibri"/>
                <w:sz w:val="20"/>
                <w:szCs w:val="20"/>
              </w:rPr>
              <w:t xml:space="preserve"> team-based care, behavioral health screenings, and establishing partnerships with/making referrals to CBOs </w:t>
            </w:r>
            <w:r w:rsidRPr="001876B8">
              <w:rPr>
                <w:rFonts w:cs="Calibri"/>
                <w:i/>
                <w:iCs/>
                <w:sz w:val="20"/>
                <w:szCs w:val="20"/>
              </w:rPr>
              <w:t xml:space="preserve">could </w:t>
            </w:r>
            <w:r w:rsidRPr="001876B8">
              <w:rPr>
                <w:rFonts w:cs="Calibri"/>
                <w:sz w:val="20"/>
                <w:szCs w:val="20"/>
              </w:rPr>
              <w:t xml:space="preserve">be satisfied </w:t>
            </w:r>
            <w:r w:rsidR="1AADAE1D" w:rsidRPr="1F5510D8">
              <w:rPr>
                <w:rFonts w:cs="Calibri"/>
                <w:sz w:val="20"/>
                <w:szCs w:val="20"/>
              </w:rPr>
              <w:t xml:space="preserve">for all areas of concentration and adult and pediatric concentrations </w:t>
            </w:r>
            <w:r w:rsidRPr="001876B8">
              <w:rPr>
                <w:rFonts w:cs="Calibri"/>
                <w:sz w:val="20"/>
                <w:szCs w:val="20"/>
              </w:rPr>
              <w:t xml:space="preserve">with NCQA PCMH </w:t>
            </w:r>
            <w:r w:rsidRPr="00CE5210">
              <w:rPr>
                <w:rFonts w:cs="Calibri"/>
                <w:i/>
                <w:sz w:val="20"/>
                <w:szCs w:val="20"/>
              </w:rPr>
              <w:t>elective</w:t>
            </w:r>
            <w:r w:rsidRPr="001876B8">
              <w:rPr>
                <w:rFonts w:cs="Calibri"/>
                <w:sz w:val="20"/>
                <w:szCs w:val="20"/>
              </w:rPr>
              <w:t xml:space="preserve"> credits. However, </w:t>
            </w:r>
            <w:r w:rsidR="51730FF7" w:rsidRPr="1F5510D8">
              <w:rPr>
                <w:rFonts w:cs="Calibri"/>
                <w:sz w:val="20"/>
                <w:szCs w:val="20"/>
              </w:rPr>
              <w:t xml:space="preserve">the </w:t>
            </w:r>
            <w:r w:rsidR="51730FF7" w:rsidRPr="1F5510D8">
              <w:rPr>
                <w:rFonts w:cs="Calibri"/>
                <w:sz w:val="20"/>
                <w:szCs w:val="20"/>
              </w:rPr>
              <w:lastRenderedPageBreak/>
              <w:t xml:space="preserve">assessment of </w:t>
            </w:r>
            <w:r w:rsidRPr="001876B8">
              <w:rPr>
                <w:rFonts w:cs="Calibri"/>
                <w:sz w:val="20"/>
                <w:szCs w:val="20"/>
              </w:rPr>
              <w:t xml:space="preserve">whether </w:t>
            </w:r>
            <w:r w:rsidR="51730FF7" w:rsidRPr="1F5510D8">
              <w:rPr>
                <w:rFonts w:cs="Calibri"/>
                <w:sz w:val="20"/>
                <w:szCs w:val="20"/>
              </w:rPr>
              <w:t>the practice has met the milestones</w:t>
            </w:r>
            <w:r w:rsidRPr="001876B8">
              <w:rPr>
                <w:rFonts w:cs="Calibri"/>
                <w:sz w:val="20"/>
                <w:szCs w:val="20"/>
              </w:rPr>
              <w:t xml:space="preserve"> would need to be determined on a </w:t>
            </w:r>
            <w:r w:rsidR="51730FF7" w:rsidRPr="1F5510D8">
              <w:rPr>
                <w:rFonts w:cs="Calibri"/>
                <w:sz w:val="20"/>
                <w:szCs w:val="20"/>
              </w:rPr>
              <w:t xml:space="preserve">practice-specific (i.e., </w:t>
            </w:r>
            <w:r w:rsidRPr="001876B8">
              <w:rPr>
                <w:rFonts w:cs="Calibri"/>
                <w:sz w:val="20"/>
                <w:szCs w:val="20"/>
              </w:rPr>
              <w:t>case-by-case</w:t>
            </w:r>
            <w:r w:rsidR="51730FF7" w:rsidRPr="1F5510D8">
              <w:rPr>
                <w:rFonts w:cs="Calibri"/>
                <w:sz w:val="20"/>
                <w:szCs w:val="20"/>
              </w:rPr>
              <w:t>)</w:t>
            </w:r>
            <w:r w:rsidRPr="001876B8">
              <w:rPr>
                <w:rFonts w:cs="Calibri"/>
                <w:sz w:val="20"/>
                <w:szCs w:val="20"/>
              </w:rPr>
              <w:t xml:space="preserve"> basis given that the standards are elective, and an organization may or may not opt to fulfill those specific elective standards.</w:t>
            </w:r>
            <w:r w:rsidR="53E80C70" w:rsidRPr="1F5510D8">
              <w:rPr>
                <w:rFonts w:ascii="Times New Roman" w:hAnsi="Times New Roman"/>
                <w:sz w:val="20"/>
                <w:szCs w:val="20"/>
              </w:rPr>
              <w:t>  </w:t>
            </w:r>
            <w:r w:rsidRPr="001876B8">
              <w:rPr>
                <w:rFonts w:cs="Book Antiqua"/>
                <w:sz w:val="20"/>
                <w:szCs w:val="20"/>
              </w:rPr>
              <w:t> </w:t>
            </w:r>
            <w:r w:rsidRPr="001876B8">
              <w:rPr>
                <w:rFonts w:cs="Calibri"/>
                <w:sz w:val="20"/>
                <w:szCs w:val="20"/>
              </w:rPr>
              <w:t xml:space="preserve">  </w:t>
            </w:r>
          </w:p>
        </w:tc>
      </w:tr>
      <w:tr w:rsidR="001876B8" w:rsidRPr="001876B8" w14:paraId="1C63212A" w14:textId="77777777" w:rsidTr="00CE5210">
        <w:trPr>
          <w:trHeight w:val="299"/>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C27BF2E" w14:textId="77777777" w:rsidR="001876B8" w:rsidRPr="001876B8" w:rsidRDefault="001876B8" w:rsidP="00550347">
            <w:pPr>
              <w:spacing w:after="0"/>
              <w:textAlignment w:val="baseline"/>
              <w:rPr>
                <w:rFonts w:cs="Segoe UI"/>
                <w:sz w:val="18"/>
                <w:szCs w:val="18"/>
              </w:rPr>
            </w:pPr>
            <w:r w:rsidRPr="001876B8">
              <w:rPr>
                <w:rFonts w:cs="Calibri"/>
                <w:b/>
                <w:bCs/>
                <w:sz w:val="20"/>
                <w:szCs w:val="20"/>
              </w:rPr>
              <w:lastRenderedPageBreak/>
              <w:t>Joint Commission Ambulatory Care</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BDE0C0C" w14:textId="77777777" w:rsidR="001876B8" w:rsidRPr="001876B8" w:rsidRDefault="001876B8" w:rsidP="00550347">
            <w:pPr>
              <w:spacing w:after="0"/>
              <w:ind w:right="-30"/>
              <w:textAlignment w:val="baseline"/>
              <w:rPr>
                <w:rFonts w:cs="Segoe UI"/>
                <w:sz w:val="18"/>
                <w:szCs w:val="18"/>
              </w:rPr>
            </w:pPr>
            <w:r w:rsidRPr="001876B8">
              <w:rPr>
                <w:rFonts w:cs="Calibri"/>
                <w:color w:val="000000"/>
                <w:sz w:val="20"/>
                <w:szCs w:val="20"/>
              </w:rPr>
              <w:t>The Joint Commission Ambulatory Care standards evaluate ambulatory care organizations in the United States.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080F503" w14:textId="77777777" w:rsidR="001876B8" w:rsidRPr="001876B8" w:rsidRDefault="001876B8" w:rsidP="00550347">
            <w:pPr>
              <w:spacing w:after="0"/>
              <w:textAlignment w:val="baseline"/>
              <w:rPr>
                <w:rFonts w:cs="Segoe UI"/>
                <w:sz w:val="18"/>
                <w:szCs w:val="18"/>
              </w:rPr>
            </w:pPr>
            <w:r w:rsidRPr="001876B8">
              <w:rPr>
                <w:rFonts w:cs="Calibri"/>
                <w:sz w:val="20"/>
                <w:szCs w:val="20"/>
              </w:rPr>
              <w:t>Partially Met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E4446F5" w14:textId="17B87CA5" w:rsidR="001876B8" w:rsidRPr="001876B8" w:rsidRDefault="001876B8" w:rsidP="00550347">
            <w:pPr>
              <w:spacing w:after="0"/>
              <w:textAlignment w:val="baseline"/>
              <w:rPr>
                <w:rFonts w:cs="Segoe UI"/>
                <w:sz w:val="18"/>
                <w:szCs w:val="18"/>
              </w:rPr>
            </w:pPr>
            <w:r w:rsidRPr="001876B8">
              <w:rPr>
                <w:rFonts w:cs="Calibri"/>
                <w:sz w:val="20"/>
                <w:szCs w:val="20"/>
              </w:rPr>
              <w:t xml:space="preserve">There are some Ambulatory Care standards that align with aspects of milestone 2, specifically </w:t>
            </w:r>
            <w:r w:rsidR="004E1B17">
              <w:rPr>
                <w:rFonts w:cs="Calibri"/>
                <w:sz w:val="20"/>
                <w:szCs w:val="20"/>
              </w:rPr>
              <w:t>CLAS,</w:t>
            </w:r>
            <w:r w:rsidRPr="001876B8">
              <w:rPr>
                <w:rFonts w:cs="Calibri"/>
                <w:sz w:val="20"/>
                <w:szCs w:val="20"/>
              </w:rPr>
              <w:t xml:space="preserve"> and milestones 3 and 5 pertaining to HRSNs, which apply to All Areas of Concentration. Otherwise, the TI 2.0 criteria are not met by the Joint Commission Ambulatory Care standards. </w:t>
            </w:r>
          </w:p>
        </w:tc>
      </w:tr>
      <w:tr w:rsidR="001876B8" w:rsidRPr="001876B8" w14:paraId="624B74FC" w14:textId="77777777" w:rsidTr="1F5510D8">
        <w:trPr>
          <w:trHeight w:val="299"/>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FBFAFD" w14:textId="77777777" w:rsidR="001876B8" w:rsidRPr="001876B8" w:rsidRDefault="001876B8" w:rsidP="00550347">
            <w:pPr>
              <w:spacing w:after="0"/>
              <w:textAlignment w:val="baseline"/>
              <w:rPr>
                <w:rFonts w:cs="Segoe UI"/>
                <w:sz w:val="18"/>
                <w:szCs w:val="18"/>
              </w:rPr>
            </w:pPr>
            <w:r w:rsidRPr="001876B8">
              <w:rPr>
                <w:rFonts w:cs="Calibri"/>
                <w:b/>
                <w:bCs/>
                <w:sz w:val="20"/>
                <w:szCs w:val="20"/>
              </w:rPr>
              <w:t>Joint Commission Behavioral Health Care and Human Services</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AD86E43" w14:textId="77777777" w:rsidR="001876B8" w:rsidRPr="001876B8" w:rsidRDefault="001876B8" w:rsidP="00550347">
            <w:pPr>
              <w:spacing w:after="0"/>
              <w:textAlignment w:val="baseline"/>
              <w:rPr>
                <w:rFonts w:cs="Segoe UI"/>
                <w:sz w:val="18"/>
                <w:szCs w:val="18"/>
              </w:rPr>
            </w:pPr>
            <w:r w:rsidRPr="001876B8">
              <w:rPr>
                <w:rFonts w:cs="Calibri"/>
                <w:sz w:val="20"/>
                <w:szCs w:val="20"/>
              </w:rPr>
              <w:t>Some of the Joint Commission standards only apply to specific types of organizations depending on what services they provide.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C0ADC94" w14:textId="77777777" w:rsidR="001876B8" w:rsidRPr="001876B8" w:rsidRDefault="001876B8" w:rsidP="00550347">
            <w:pPr>
              <w:spacing w:after="0"/>
              <w:textAlignment w:val="baseline"/>
              <w:rPr>
                <w:rFonts w:cs="Segoe UI"/>
                <w:sz w:val="18"/>
                <w:szCs w:val="18"/>
              </w:rPr>
            </w:pPr>
            <w:r w:rsidRPr="001876B8">
              <w:rPr>
                <w:rFonts w:cs="Calibri"/>
                <w:sz w:val="20"/>
                <w:szCs w:val="20"/>
              </w:rPr>
              <w:t>Partially Met </w:t>
            </w:r>
          </w:p>
          <w:p w14:paraId="07BCE440" w14:textId="77777777" w:rsidR="001876B8" w:rsidRPr="001876B8" w:rsidRDefault="001876B8" w:rsidP="00550347">
            <w:pPr>
              <w:spacing w:after="0"/>
              <w:textAlignment w:val="baseline"/>
              <w:rPr>
                <w:rFonts w:cs="Segoe UI"/>
                <w:sz w:val="18"/>
                <w:szCs w:val="18"/>
              </w:rPr>
            </w:pPr>
            <w:r w:rsidRPr="001876B8">
              <w:rPr>
                <w:rFonts w:cs="Calibri"/>
                <w:sz w:val="20"/>
                <w:szCs w:val="20"/>
              </w:rPr>
              <w: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48D0D7D" w14:textId="4EDF1377" w:rsidR="001876B8" w:rsidRPr="001876B8" w:rsidRDefault="001876B8" w:rsidP="00550347">
            <w:pPr>
              <w:spacing w:after="0"/>
              <w:textAlignment w:val="baseline"/>
              <w:rPr>
                <w:rFonts w:cs="Segoe UI"/>
                <w:sz w:val="18"/>
                <w:szCs w:val="18"/>
              </w:rPr>
            </w:pPr>
            <w:r w:rsidRPr="001876B8">
              <w:rPr>
                <w:rFonts w:cs="Calibri"/>
                <w:sz w:val="20"/>
                <w:szCs w:val="20"/>
              </w:rPr>
              <w:t>There are some Behavioral Health Care and Human Services standards that align with aspects of milestone 2, specifically</w:t>
            </w:r>
            <w:r w:rsidR="00363AF1">
              <w:rPr>
                <w:rFonts w:cs="Calibri"/>
                <w:sz w:val="20"/>
                <w:szCs w:val="20"/>
              </w:rPr>
              <w:t xml:space="preserve"> CLAS</w:t>
            </w:r>
            <w:r w:rsidRPr="001876B8">
              <w:rPr>
                <w:rFonts w:cs="Calibri"/>
                <w:sz w:val="20"/>
                <w:szCs w:val="20"/>
              </w:rPr>
              <w:t>, and milestones 3 and 5 pertaining to HRSNs. Otherwise, the TI 2.0 criteria are not met by the Joint Commission Behavioral Health Care and Human Services standards.   </w:t>
            </w:r>
          </w:p>
        </w:tc>
      </w:tr>
      <w:tr w:rsidR="001876B8" w:rsidRPr="001876B8" w14:paraId="509264C1" w14:textId="77777777" w:rsidTr="1F5510D8">
        <w:trPr>
          <w:trHeight w:val="299"/>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03D3DC10" w14:textId="77777777" w:rsidR="001876B8" w:rsidRPr="001876B8" w:rsidRDefault="001876B8" w:rsidP="00550347">
            <w:pPr>
              <w:spacing w:after="0"/>
              <w:textAlignment w:val="baseline"/>
              <w:rPr>
                <w:rFonts w:cs="Segoe UI"/>
                <w:sz w:val="18"/>
                <w:szCs w:val="18"/>
              </w:rPr>
            </w:pPr>
            <w:r w:rsidRPr="001876B8">
              <w:rPr>
                <w:rFonts w:cs="Calibri"/>
                <w:b/>
                <w:bCs/>
                <w:sz w:val="20"/>
                <w:szCs w:val="20"/>
              </w:rPr>
              <w:t>SAMHSA CCBHC</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1AE1698" w14:textId="77777777" w:rsidR="001876B8" w:rsidRPr="001876B8" w:rsidRDefault="001876B8" w:rsidP="00550347">
            <w:pPr>
              <w:spacing w:after="0"/>
              <w:textAlignment w:val="baseline"/>
              <w:rPr>
                <w:rFonts w:cs="Segoe UI"/>
                <w:sz w:val="18"/>
                <w:szCs w:val="18"/>
              </w:rPr>
            </w:pPr>
            <w:r w:rsidRPr="001876B8">
              <w:rPr>
                <w:rFonts w:cs="Calibri"/>
                <w:sz w:val="20"/>
                <w:szCs w:val="20"/>
              </w:rPr>
              <w:t>SAMHSA CCBHC certification criteria define uniform standards providers must meet to be a CCBHC.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EA5BBAE" w14:textId="77777777" w:rsidR="001876B8" w:rsidRPr="001876B8" w:rsidRDefault="001876B8" w:rsidP="00550347">
            <w:pPr>
              <w:spacing w:after="0"/>
              <w:textAlignment w:val="baseline"/>
              <w:rPr>
                <w:rFonts w:cs="Segoe UI"/>
                <w:sz w:val="18"/>
                <w:szCs w:val="18"/>
              </w:rPr>
            </w:pPr>
            <w:r w:rsidRPr="001876B8">
              <w:rPr>
                <w:rFonts w:cs="Calibri"/>
                <w:sz w:val="20"/>
                <w:szCs w:val="20"/>
              </w:rPr>
              <w:t>Partially Met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1DE2CA" w14:textId="5155270D" w:rsidR="001876B8" w:rsidRPr="001876B8" w:rsidRDefault="001876B8" w:rsidP="00550347">
            <w:pPr>
              <w:spacing w:after="0"/>
              <w:textAlignment w:val="baseline"/>
              <w:rPr>
                <w:rFonts w:cs="Segoe UI"/>
                <w:sz w:val="18"/>
                <w:szCs w:val="18"/>
              </w:rPr>
            </w:pPr>
            <w:r w:rsidRPr="001876B8">
              <w:rPr>
                <w:rFonts w:cs="Calibri"/>
                <w:sz w:val="20"/>
                <w:szCs w:val="20"/>
              </w:rPr>
              <w:t xml:space="preserve">SAMHSA CCBHC standards partially satisfy TI 2.0 milestones, particularly for </w:t>
            </w:r>
            <w:r w:rsidR="00363AF1">
              <w:rPr>
                <w:rFonts w:cs="Calibri"/>
                <w:sz w:val="20"/>
                <w:szCs w:val="20"/>
              </w:rPr>
              <w:t xml:space="preserve">CLAS, </w:t>
            </w:r>
            <w:r w:rsidR="004E1526">
              <w:rPr>
                <w:rFonts w:cs="Calibri"/>
                <w:sz w:val="20"/>
                <w:szCs w:val="20"/>
              </w:rPr>
              <w:t>HRSN</w:t>
            </w:r>
            <w:r w:rsidRPr="001876B8">
              <w:rPr>
                <w:rFonts w:cs="Calibri"/>
                <w:sz w:val="20"/>
                <w:szCs w:val="20"/>
              </w:rPr>
              <w:t xml:space="preserve"> screening, postpartum depression screening, and care coordination.  </w:t>
            </w:r>
          </w:p>
        </w:tc>
      </w:tr>
      <w:tr w:rsidR="001876B8" w:rsidRPr="001876B8" w14:paraId="0494A36C" w14:textId="77777777" w:rsidTr="1F5510D8">
        <w:trPr>
          <w:trHeight w:val="659"/>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B30263E" w14:textId="77777777" w:rsidR="001876B8" w:rsidRPr="001876B8" w:rsidRDefault="001876B8" w:rsidP="00550347">
            <w:pPr>
              <w:spacing w:after="0"/>
              <w:textAlignment w:val="baseline"/>
              <w:rPr>
                <w:rFonts w:cs="Segoe UI"/>
                <w:sz w:val="18"/>
                <w:szCs w:val="18"/>
              </w:rPr>
            </w:pPr>
            <w:r w:rsidRPr="001876B8">
              <w:rPr>
                <w:rFonts w:cs="Calibri"/>
                <w:b/>
                <w:bCs/>
                <w:sz w:val="20"/>
                <w:szCs w:val="20"/>
              </w:rPr>
              <w:t>Social Current Private Organizations</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137E21B" w14:textId="4D872A7A" w:rsidR="001876B8" w:rsidRPr="001876B8" w:rsidRDefault="16A6F69E" w:rsidP="00550347">
            <w:pPr>
              <w:spacing w:after="0"/>
              <w:textAlignment w:val="baseline"/>
              <w:rPr>
                <w:rFonts w:cs="Segoe UI"/>
                <w:sz w:val="18"/>
                <w:szCs w:val="18"/>
              </w:rPr>
            </w:pPr>
            <w:r w:rsidRPr="1F5510D8">
              <w:rPr>
                <w:rFonts w:cs="Calibri"/>
                <w:sz w:val="20"/>
                <w:szCs w:val="20"/>
              </w:rPr>
              <w:t xml:space="preserve">Social Current </w:t>
            </w:r>
            <w:r w:rsidR="124DDE4A" w:rsidRPr="1F5510D8">
              <w:rPr>
                <w:rFonts w:cs="Calibri"/>
                <w:sz w:val="20"/>
                <w:szCs w:val="20"/>
              </w:rPr>
              <w:t xml:space="preserve">private organization accreditation is for non-profit or for-profit organizations in the United States that offer </w:t>
            </w:r>
            <w:r>
              <w:t>social and human services.</w:t>
            </w:r>
            <w:r w:rsidR="124DDE4A">
              <w:t xml:space="preserve"> </w:t>
            </w:r>
            <w:r w:rsidR="001876B8" w:rsidRPr="001876B8">
              <w:rPr>
                <w:rFonts w:cs="Calibri"/>
                <w:sz w:val="20"/>
                <w:szCs w:val="20"/>
              </w:rPr>
              <w:t xml:space="preserve">The Social Current standards are split into three groups of standards. The first two, Administration and Management Standards and Service Delivery Administration Standards, apply to all organizations. The third group of standards, Service Standards, are applied to organizations depending on their scope </w:t>
            </w:r>
            <w:r w:rsidR="6488A498" w:rsidRPr="1F5510D8">
              <w:rPr>
                <w:rFonts w:cs="Calibri"/>
                <w:sz w:val="20"/>
                <w:szCs w:val="20"/>
              </w:rPr>
              <w:t>of services</w:t>
            </w:r>
            <w:r w:rsidR="53E80C70" w:rsidRPr="1F5510D8">
              <w:rPr>
                <w:rFonts w:cs="Calibri"/>
                <w:sz w:val="20"/>
                <w:szCs w:val="20"/>
              </w:rPr>
              <w:t xml:space="preserve"> </w:t>
            </w:r>
            <w:r w:rsidR="001876B8" w:rsidRPr="001876B8">
              <w:rPr>
                <w:rFonts w:cs="Calibri"/>
                <w:sz w:val="20"/>
                <w:szCs w:val="20"/>
              </w:rPr>
              <w:t>and populations served.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77E9E785" w14:textId="77777777" w:rsidR="001876B8" w:rsidRPr="001876B8" w:rsidRDefault="001876B8" w:rsidP="00550347">
            <w:pPr>
              <w:spacing w:after="0"/>
              <w:textAlignment w:val="baseline"/>
              <w:rPr>
                <w:rFonts w:cs="Segoe UI"/>
                <w:sz w:val="18"/>
                <w:szCs w:val="18"/>
              </w:rPr>
            </w:pPr>
            <w:r w:rsidRPr="001876B8">
              <w:rPr>
                <w:rFonts w:cs="Calibri"/>
                <w:sz w:val="20"/>
                <w:szCs w:val="20"/>
              </w:rPr>
              <w:t>Partially Met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6363BE9E" w14:textId="7E99869D" w:rsidR="001876B8" w:rsidRPr="001876B8" w:rsidRDefault="001876B8" w:rsidP="00550347">
            <w:pPr>
              <w:spacing w:after="0"/>
              <w:textAlignment w:val="baseline"/>
              <w:rPr>
                <w:rFonts w:cs="Segoe UI"/>
                <w:sz w:val="18"/>
                <w:szCs w:val="18"/>
              </w:rPr>
            </w:pPr>
            <w:r w:rsidRPr="001876B8">
              <w:rPr>
                <w:rFonts w:cs="Calibri"/>
                <w:sz w:val="20"/>
                <w:szCs w:val="20"/>
              </w:rPr>
              <w:t>A couple of the requirements regarding CLAS standards and partnerships with CBOs (which apply to All Areas of Concentration</w:t>
            </w:r>
            <w:r w:rsidR="00522386">
              <w:rPr>
                <w:rFonts w:cs="Calibri"/>
                <w:sz w:val="20"/>
                <w:szCs w:val="20"/>
              </w:rPr>
              <w:t xml:space="preserve"> in the TI 2.0 program</w:t>
            </w:r>
            <w:r w:rsidRPr="001876B8">
              <w:rPr>
                <w:rFonts w:cs="Calibri"/>
                <w:sz w:val="20"/>
                <w:szCs w:val="20"/>
              </w:rPr>
              <w:t xml:space="preserve">) are satisfied by the Social Current standards. Some of the TI 2.0 criteria pertaining to HRSNs and behavioral health for the Adult and Pediatric Primary Care Concentrations and Adult Behavioral Heath Concentration </w:t>
            </w:r>
            <w:r w:rsidRPr="001876B8">
              <w:rPr>
                <w:rFonts w:cs="Calibri"/>
                <w:i/>
                <w:iCs/>
                <w:sz w:val="20"/>
                <w:szCs w:val="20"/>
              </w:rPr>
              <w:t xml:space="preserve">could </w:t>
            </w:r>
            <w:r w:rsidRPr="001876B8">
              <w:rPr>
                <w:rFonts w:cs="Calibri"/>
                <w:sz w:val="20"/>
                <w:szCs w:val="20"/>
              </w:rPr>
              <w:t xml:space="preserve">be fulfilled by the Service Standards. Whether an organization fulfills some of the TI 2.0 criteria would need to be determined on a case-by-case basis, given that the Service Standards depend on the </w:t>
            </w:r>
            <w:r w:rsidR="53E80C70" w:rsidRPr="1F5510D8">
              <w:rPr>
                <w:rFonts w:cs="Calibri"/>
                <w:sz w:val="20"/>
                <w:szCs w:val="20"/>
              </w:rPr>
              <w:t>organization</w:t>
            </w:r>
            <w:r w:rsidR="1E692F87" w:rsidRPr="1F5510D8">
              <w:rPr>
                <w:rFonts w:cs="Calibri"/>
                <w:sz w:val="20"/>
                <w:szCs w:val="20"/>
              </w:rPr>
              <w:t>’s</w:t>
            </w:r>
            <w:r w:rsidRPr="001876B8">
              <w:rPr>
                <w:rFonts w:cs="Calibri"/>
                <w:sz w:val="20"/>
                <w:szCs w:val="20"/>
              </w:rPr>
              <w:t xml:space="preserve"> scope </w:t>
            </w:r>
            <w:r w:rsidR="0BEC2142" w:rsidRPr="1F5510D8">
              <w:rPr>
                <w:rFonts w:cs="Calibri"/>
                <w:sz w:val="20"/>
                <w:szCs w:val="20"/>
              </w:rPr>
              <w:t xml:space="preserve">of services </w:t>
            </w:r>
            <w:r w:rsidRPr="001876B8">
              <w:rPr>
                <w:rFonts w:cs="Calibri"/>
                <w:sz w:val="20"/>
                <w:szCs w:val="20"/>
              </w:rPr>
              <w:t>and populations served. </w:t>
            </w:r>
          </w:p>
        </w:tc>
      </w:tr>
      <w:tr w:rsidR="001876B8" w:rsidRPr="001876B8" w14:paraId="654EDEC8" w14:textId="77777777" w:rsidTr="1F5510D8">
        <w:trPr>
          <w:trHeight w:val="524"/>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554E088D" w14:textId="77777777" w:rsidR="001876B8" w:rsidRPr="001876B8" w:rsidRDefault="001876B8" w:rsidP="00550347">
            <w:pPr>
              <w:spacing w:after="0"/>
              <w:textAlignment w:val="baseline"/>
              <w:rPr>
                <w:rFonts w:cs="Segoe UI"/>
                <w:sz w:val="18"/>
                <w:szCs w:val="18"/>
              </w:rPr>
            </w:pPr>
            <w:r w:rsidRPr="001876B8">
              <w:rPr>
                <w:rFonts w:cs="Calibri"/>
                <w:b/>
                <w:bCs/>
                <w:sz w:val="20"/>
                <w:szCs w:val="20"/>
              </w:rPr>
              <w:t>HRSA Health Disparities Reducer Badge</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DAAEA68" w14:textId="696AF4E0" w:rsidR="001876B8" w:rsidRPr="001876B8" w:rsidRDefault="001876B8" w:rsidP="00550347">
            <w:pPr>
              <w:spacing w:after="0"/>
              <w:textAlignment w:val="baseline"/>
              <w:rPr>
                <w:rFonts w:cs="Segoe UI"/>
                <w:sz w:val="18"/>
                <w:szCs w:val="18"/>
              </w:rPr>
            </w:pPr>
            <w:r w:rsidRPr="001876B8">
              <w:rPr>
                <w:rFonts w:cs="Calibri"/>
                <w:sz w:val="20"/>
                <w:szCs w:val="20"/>
              </w:rPr>
              <w:t xml:space="preserve">The Health Disparities Reducer Badge is part of HRSA’s Community Health Quality Recognition program and focuses on clinical </w:t>
            </w:r>
            <w:r w:rsidRPr="001876B8">
              <w:rPr>
                <w:rFonts w:cs="Calibri"/>
                <w:sz w:val="20"/>
                <w:szCs w:val="20"/>
              </w:rPr>
              <w:lastRenderedPageBreak/>
              <w:t>quality measure performance</w:t>
            </w:r>
            <w:r w:rsidR="00957516">
              <w:rPr>
                <w:rFonts w:cs="Calibri"/>
                <w:sz w:val="20"/>
                <w:szCs w:val="20"/>
              </w:rPr>
              <w:t xml:space="preserve"> for Health Center Programs or look-alikes.</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0EF61D0" w14:textId="77777777" w:rsidR="001876B8" w:rsidRPr="001876B8" w:rsidRDefault="001876B8" w:rsidP="00550347">
            <w:pPr>
              <w:spacing w:after="0"/>
              <w:textAlignment w:val="baseline"/>
              <w:rPr>
                <w:rFonts w:cs="Segoe UI"/>
                <w:sz w:val="18"/>
                <w:szCs w:val="18"/>
              </w:rPr>
            </w:pPr>
            <w:r w:rsidRPr="001876B8">
              <w:rPr>
                <w:rFonts w:cs="Calibri"/>
                <w:sz w:val="20"/>
                <w:szCs w:val="20"/>
              </w:rPr>
              <w:lastRenderedPageBreak/>
              <w:t>Not Met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A882DB9" w14:textId="77777777" w:rsidR="001876B8" w:rsidRPr="001876B8" w:rsidRDefault="001876B8" w:rsidP="00550347">
            <w:pPr>
              <w:spacing w:after="0"/>
              <w:textAlignment w:val="baseline"/>
              <w:rPr>
                <w:rFonts w:cs="Segoe UI"/>
                <w:sz w:val="18"/>
                <w:szCs w:val="18"/>
              </w:rPr>
            </w:pPr>
            <w:r w:rsidRPr="001876B8">
              <w:rPr>
                <w:rFonts w:cs="Calibri"/>
                <w:sz w:val="20"/>
                <w:szCs w:val="20"/>
              </w:rPr>
              <w:t xml:space="preserve">While the clinical quality measures required for the Health Disparities Reducer Badge may loosely overlap with some areas addressed in the </w:t>
            </w:r>
            <w:r w:rsidRPr="001876B8">
              <w:rPr>
                <w:rFonts w:cs="Calibri"/>
                <w:sz w:val="20"/>
                <w:szCs w:val="20"/>
              </w:rPr>
              <w:lastRenderedPageBreak/>
              <w:t>TI 2.0 milestones, the badge does not appear to sufficiently satisfy any TI 2.0 milestones.  </w:t>
            </w:r>
          </w:p>
        </w:tc>
      </w:tr>
      <w:tr w:rsidR="001876B8" w:rsidRPr="001876B8" w14:paraId="0A3909AD" w14:textId="77777777" w:rsidTr="1F5510D8">
        <w:trPr>
          <w:trHeight w:val="374"/>
        </w:trPr>
        <w:tc>
          <w:tcPr>
            <w:tcW w:w="15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1DC590ED" w14:textId="77777777" w:rsidR="001876B8" w:rsidRPr="001876B8" w:rsidRDefault="001876B8" w:rsidP="00550347">
            <w:pPr>
              <w:spacing w:after="0"/>
              <w:textAlignment w:val="baseline"/>
              <w:rPr>
                <w:rFonts w:cs="Segoe UI"/>
                <w:sz w:val="18"/>
                <w:szCs w:val="18"/>
              </w:rPr>
            </w:pPr>
            <w:r w:rsidRPr="001876B8">
              <w:rPr>
                <w:rFonts w:cs="Calibri"/>
                <w:b/>
                <w:bCs/>
                <w:sz w:val="20"/>
                <w:szCs w:val="20"/>
              </w:rPr>
              <w:lastRenderedPageBreak/>
              <w:t>URAC</w:t>
            </w:r>
            <w:r w:rsidRPr="001876B8">
              <w:rPr>
                <w:rFonts w:cs="Calibri"/>
                <w:sz w:val="20"/>
                <w:szCs w:val="20"/>
              </w:rPr>
              <w:t> </w:t>
            </w:r>
          </w:p>
        </w:tc>
        <w:tc>
          <w:tcPr>
            <w:tcW w:w="396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3F5587A6" w14:textId="77777777" w:rsidR="001876B8" w:rsidRPr="001876B8" w:rsidRDefault="001876B8" w:rsidP="00550347">
            <w:pPr>
              <w:spacing w:after="0"/>
              <w:jc w:val="center"/>
              <w:textAlignment w:val="baseline"/>
              <w:rPr>
                <w:rFonts w:cs="Segoe UI"/>
                <w:sz w:val="18"/>
                <w:szCs w:val="18"/>
              </w:rPr>
            </w:pPr>
            <w:r w:rsidRPr="001876B8">
              <w:rPr>
                <w:rFonts w:cs="Calibri"/>
                <w:sz w:val="20"/>
                <w:szCs w:val="20"/>
              </w:rPr>
              <w:t> </w:t>
            </w:r>
          </w:p>
        </w:tc>
        <w:tc>
          <w:tcPr>
            <w:tcW w:w="189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4F41C3F2" w14:textId="77777777" w:rsidR="001876B8" w:rsidRPr="001876B8" w:rsidRDefault="001876B8" w:rsidP="00550347">
            <w:pPr>
              <w:spacing w:after="0"/>
              <w:jc w:val="center"/>
              <w:textAlignment w:val="baseline"/>
              <w:rPr>
                <w:rFonts w:cs="Segoe UI"/>
                <w:sz w:val="18"/>
                <w:szCs w:val="18"/>
              </w:rPr>
            </w:pPr>
            <w:r w:rsidRPr="001876B8">
              <w:rPr>
                <w:rFonts w:cs="Calibri"/>
                <w:sz w:val="20"/>
                <w:szCs w:val="20"/>
              </w:rPr>
              <w:t>TBD </w:t>
            </w:r>
          </w:p>
        </w:tc>
        <w:tc>
          <w:tcPr>
            <w:tcW w:w="630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hideMark/>
          </w:tcPr>
          <w:p w14:paraId="2906F02F" w14:textId="77777777" w:rsidR="001876B8" w:rsidRPr="001876B8" w:rsidRDefault="001876B8" w:rsidP="00550347">
            <w:pPr>
              <w:spacing w:after="0"/>
              <w:textAlignment w:val="baseline"/>
              <w:rPr>
                <w:rFonts w:cs="Segoe UI"/>
                <w:sz w:val="18"/>
                <w:szCs w:val="18"/>
              </w:rPr>
            </w:pPr>
            <w:r w:rsidRPr="001876B8">
              <w:rPr>
                <w:rFonts w:cs="Calibri"/>
                <w:sz w:val="20"/>
                <w:szCs w:val="20"/>
              </w:rPr>
              <w:t>Bailit Health is awaiting clarification on which URAC standard(s) AHCCCS would like cross walked with the TI 2.0 standards.  </w:t>
            </w:r>
          </w:p>
        </w:tc>
      </w:tr>
    </w:tbl>
    <w:p w14:paraId="0892EE12" w14:textId="77777777" w:rsidR="001876B8" w:rsidRPr="001876B8" w:rsidRDefault="001876B8" w:rsidP="001876B8">
      <w:pPr>
        <w:rPr>
          <w:b/>
          <w:bCs/>
        </w:rPr>
      </w:pPr>
    </w:p>
    <w:p w14:paraId="6F5AE880" w14:textId="5B5E3527" w:rsidR="007062FD" w:rsidRPr="00F7753D" w:rsidRDefault="007062FD" w:rsidP="006536D2"/>
    <w:sectPr w:rsidR="007062FD" w:rsidRPr="00F7753D" w:rsidSect="00EC72A6">
      <w:pgSz w:w="15840" w:h="12240" w:orient="landscape"/>
      <w:pgMar w:top="1584" w:right="1440" w:bottom="1584" w:left="1440" w:header="720" w:footer="720"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606171" w14:textId="77777777" w:rsidR="00EC72A6" w:rsidRDefault="00EC72A6">
      <w:r>
        <w:separator/>
      </w:r>
    </w:p>
  </w:endnote>
  <w:endnote w:type="continuationSeparator" w:id="0">
    <w:p w14:paraId="04F7C72F" w14:textId="77777777" w:rsidR="00EC72A6" w:rsidRDefault="00EC72A6">
      <w:r>
        <w:continuationSeparator/>
      </w:r>
    </w:p>
  </w:endnote>
  <w:endnote w:type="continuationNotice" w:id="1">
    <w:p w14:paraId="2C62BE9F" w14:textId="77777777" w:rsidR="00EC72A6" w:rsidRDefault="00EC72A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altName w:val="Segoe UI"/>
    <w:charset w:val="00"/>
    <w:family w:val="auto"/>
    <w:pitch w:val="variable"/>
    <w:sig w:usb0="03000000"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Web Pro">
    <w:altName w:val="Corbel"/>
    <w:charset w:val="00"/>
    <w:family w:val="swiss"/>
    <w:pitch w:val="variable"/>
    <w:sig w:usb0="00000001" w:usb1="5000204A" w:usb2="00000000" w:usb3="00000000" w:csb0="000000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994D9" w14:textId="77777777" w:rsidR="00A14D11" w:rsidRDefault="00A14D11">
    <w:pPr>
      <w:pStyle w:val="Footer"/>
      <w:jc w:val="right"/>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D37909" w14:textId="77777777" w:rsidR="00EC72A6" w:rsidRDefault="00EC72A6">
      <w:r>
        <w:separator/>
      </w:r>
    </w:p>
  </w:footnote>
  <w:footnote w:type="continuationSeparator" w:id="0">
    <w:p w14:paraId="49AC688E" w14:textId="77777777" w:rsidR="00EC72A6" w:rsidRDefault="00EC72A6">
      <w:r>
        <w:continuationSeparator/>
      </w:r>
    </w:p>
  </w:footnote>
  <w:footnote w:type="continuationNotice" w:id="1">
    <w:p w14:paraId="3F9D5722" w14:textId="77777777" w:rsidR="00EC72A6" w:rsidRDefault="00EC72A6">
      <w:pPr>
        <w:spacing w:after="0"/>
      </w:pPr>
    </w:p>
  </w:footnote>
  <w:footnote w:id="2">
    <w:p w14:paraId="22700944" w14:textId="43D57E75" w:rsidR="00B25940" w:rsidRDefault="00B25940">
      <w:pPr>
        <w:pStyle w:val="FootnoteText"/>
      </w:pPr>
      <w:r>
        <w:rPr>
          <w:rStyle w:val="FootnoteReference"/>
        </w:rPr>
        <w:footnoteRef/>
      </w:r>
      <w:r>
        <w:t xml:space="preserve"> </w:t>
      </w:r>
      <w:r w:rsidRPr="00B25940">
        <w:t>Bailit Health is awaiting clarification on which URAC standard(s) AHCCCS would like cross walked with the TI 2.0 standards.</w:t>
      </w:r>
    </w:p>
  </w:footnote>
  <w:footnote w:id="3">
    <w:p w14:paraId="08EF321A" w14:textId="77777777" w:rsidR="00A046FF" w:rsidRDefault="00A046FF" w:rsidP="00A046FF">
      <w:pPr>
        <w:pStyle w:val="FootnoteText"/>
      </w:pPr>
      <w:r>
        <w:rPr>
          <w:rStyle w:val="FootnoteReference"/>
        </w:rPr>
        <w:footnoteRef/>
      </w:r>
      <w:r>
        <w:t xml:space="preserve"> </w:t>
      </w:r>
      <w:hyperlink r:id="rId1" w:history="1">
        <w:r w:rsidRPr="00CA30C6">
          <w:rPr>
            <w:rStyle w:val="Hyperlink"/>
          </w:rPr>
          <w:t>https://carf.org/accreditation/programs/behavioral-health/</w:t>
        </w:r>
      </w:hyperlink>
      <w:r>
        <w:t xml:space="preserve"> </w:t>
      </w:r>
    </w:p>
  </w:footnote>
  <w:footnote w:id="4">
    <w:p w14:paraId="13A357AB" w14:textId="499F8948" w:rsidR="003E77E9" w:rsidRPr="002C37BC" w:rsidRDefault="003E77E9">
      <w:pPr>
        <w:pStyle w:val="FootnoteText"/>
      </w:pPr>
      <w:r w:rsidRPr="002C37BC">
        <w:rPr>
          <w:rStyle w:val="FootnoteReference"/>
        </w:rPr>
        <w:footnoteRef/>
      </w:r>
      <w:r w:rsidRPr="002C37BC">
        <w:t xml:space="preserve"> </w:t>
      </w:r>
      <w:hyperlink r:id="rId2" w:history="1">
        <w:r w:rsidR="00CB4B4E" w:rsidRPr="00F7733F">
          <w:rPr>
            <w:rStyle w:val="Hyperlink"/>
          </w:rPr>
          <w:t>https://carf.org/accreditation/programs/opioid-treatment/</w:t>
        </w:r>
      </w:hyperlink>
      <w:r w:rsidR="00CB4B4E">
        <w:t xml:space="preserve"> </w:t>
      </w:r>
    </w:p>
  </w:footnote>
  <w:footnote w:id="5">
    <w:p w14:paraId="796E4AEA" w14:textId="77777777" w:rsidR="002C37BC" w:rsidRPr="00CE5210" w:rsidRDefault="002C37BC" w:rsidP="00CE5210">
      <w:pPr>
        <w:pStyle w:val="pf0"/>
        <w:spacing w:before="0" w:beforeAutospacing="0" w:after="0" w:afterAutospacing="0"/>
        <w:rPr>
          <w:rFonts w:ascii="Book Antiqua" w:hAnsi="Book Antiqua" w:cs="Arial"/>
          <w:sz w:val="20"/>
          <w:szCs w:val="20"/>
        </w:rPr>
      </w:pPr>
      <w:r w:rsidRPr="00CE5210">
        <w:rPr>
          <w:rStyle w:val="FootnoteReference"/>
          <w:rFonts w:ascii="Book Antiqua" w:hAnsi="Book Antiqua"/>
          <w:sz w:val="20"/>
          <w:szCs w:val="20"/>
        </w:rPr>
        <w:footnoteRef/>
      </w:r>
      <w:r w:rsidRPr="00CE5210">
        <w:rPr>
          <w:rFonts w:ascii="Book Antiqua" w:hAnsi="Book Antiqua"/>
          <w:sz w:val="20"/>
          <w:szCs w:val="20"/>
        </w:rPr>
        <w:t xml:space="preserve"> </w:t>
      </w:r>
      <w:hyperlink r:id="rId3" w:history="1">
        <w:r w:rsidRPr="00CE5210">
          <w:rPr>
            <w:rStyle w:val="cf01"/>
            <w:rFonts w:ascii="Book Antiqua" w:hAnsi="Book Antiqua"/>
            <w:color w:val="0000FF"/>
            <w:sz w:val="20"/>
            <w:szCs w:val="20"/>
            <w:u w:val="single"/>
          </w:rPr>
          <w:t>https://carf.org/accreditation/programs/employment-community/</w:t>
        </w:r>
      </w:hyperlink>
    </w:p>
    <w:p w14:paraId="515334A1" w14:textId="173CE055" w:rsidR="002C37BC" w:rsidRDefault="002C37B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C21AD6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2A1D9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F20AB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7821DE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2688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55429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181DC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D82F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D665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FCC3AD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B9FA611"/>
    <w:multiLevelType w:val="hybridMultilevel"/>
    <w:tmpl w:val="E54E84C4"/>
    <w:lvl w:ilvl="0" w:tplc="B1E2CA70">
      <w:start w:val="1"/>
      <w:numFmt w:val="bullet"/>
      <w:lvlText w:val=""/>
      <w:lvlJc w:val="left"/>
      <w:pPr>
        <w:ind w:left="720" w:hanging="360"/>
      </w:pPr>
      <w:rPr>
        <w:rFonts w:ascii="Symbol" w:hAnsi="Symbol" w:hint="default"/>
      </w:rPr>
    </w:lvl>
    <w:lvl w:ilvl="1" w:tplc="BAFE15E2">
      <w:start w:val="1"/>
      <w:numFmt w:val="bullet"/>
      <w:lvlText w:val="o"/>
      <w:lvlJc w:val="left"/>
      <w:pPr>
        <w:ind w:left="1440" w:hanging="360"/>
      </w:pPr>
      <w:rPr>
        <w:rFonts w:ascii="Courier New" w:hAnsi="Courier New" w:hint="default"/>
      </w:rPr>
    </w:lvl>
    <w:lvl w:ilvl="2" w:tplc="D2E8A8C2">
      <w:start w:val="1"/>
      <w:numFmt w:val="bullet"/>
      <w:lvlText w:val=""/>
      <w:lvlJc w:val="left"/>
      <w:pPr>
        <w:ind w:left="2160" w:hanging="360"/>
      </w:pPr>
      <w:rPr>
        <w:rFonts w:ascii="Wingdings" w:hAnsi="Wingdings" w:hint="default"/>
      </w:rPr>
    </w:lvl>
    <w:lvl w:ilvl="3" w:tplc="B9B873B0">
      <w:start w:val="1"/>
      <w:numFmt w:val="bullet"/>
      <w:lvlText w:val=""/>
      <w:lvlJc w:val="left"/>
      <w:pPr>
        <w:ind w:left="2880" w:hanging="360"/>
      </w:pPr>
      <w:rPr>
        <w:rFonts w:ascii="Symbol" w:hAnsi="Symbol" w:hint="default"/>
      </w:rPr>
    </w:lvl>
    <w:lvl w:ilvl="4" w:tplc="84DEB138">
      <w:start w:val="1"/>
      <w:numFmt w:val="bullet"/>
      <w:lvlText w:val="o"/>
      <w:lvlJc w:val="left"/>
      <w:pPr>
        <w:ind w:left="3600" w:hanging="360"/>
      </w:pPr>
      <w:rPr>
        <w:rFonts w:ascii="Courier New" w:hAnsi="Courier New" w:hint="default"/>
      </w:rPr>
    </w:lvl>
    <w:lvl w:ilvl="5" w:tplc="207A6648">
      <w:start w:val="1"/>
      <w:numFmt w:val="bullet"/>
      <w:lvlText w:val=""/>
      <w:lvlJc w:val="left"/>
      <w:pPr>
        <w:ind w:left="4320" w:hanging="360"/>
      </w:pPr>
      <w:rPr>
        <w:rFonts w:ascii="Wingdings" w:hAnsi="Wingdings" w:hint="default"/>
      </w:rPr>
    </w:lvl>
    <w:lvl w:ilvl="6" w:tplc="464C42F4">
      <w:start w:val="1"/>
      <w:numFmt w:val="bullet"/>
      <w:lvlText w:val=""/>
      <w:lvlJc w:val="left"/>
      <w:pPr>
        <w:ind w:left="5040" w:hanging="360"/>
      </w:pPr>
      <w:rPr>
        <w:rFonts w:ascii="Symbol" w:hAnsi="Symbol" w:hint="default"/>
      </w:rPr>
    </w:lvl>
    <w:lvl w:ilvl="7" w:tplc="0AD4CB0C">
      <w:start w:val="1"/>
      <w:numFmt w:val="bullet"/>
      <w:lvlText w:val="o"/>
      <w:lvlJc w:val="left"/>
      <w:pPr>
        <w:ind w:left="5760" w:hanging="360"/>
      </w:pPr>
      <w:rPr>
        <w:rFonts w:ascii="Courier New" w:hAnsi="Courier New" w:hint="default"/>
      </w:rPr>
    </w:lvl>
    <w:lvl w:ilvl="8" w:tplc="0B923838">
      <w:start w:val="1"/>
      <w:numFmt w:val="bullet"/>
      <w:lvlText w:val=""/>
      <w:lvlJc w:val="left"/>
      <w:pPr>
        <w:ind w:left="6480" w:hanging="360"/>
      </w:pPr>
      <w:rPr>
        <w:rFonts w:ascii="Wingdings" w:hAnsi="Wingdings" w:hint="default"/>
      </w:rPr>
    </w:lvl>
  </w:abstractNum>
  <w:abstractNum w:abstractNumId="11" w15:restartNumberingAfterBreak="0">
    <w:nsid w:val="1C011A37"/>
    <w:multiLevelType w:val="hybridMultilevel"/>
    <w:tmpl w:val="52E0C52A"/>
    <w:lvl w:ilvl="0" w:tplc="35729ECA">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C353A72"/>
    <w:multiLevelType w:val="hybridMultilevel"/>
    <w:tmpl w:val="E9F85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9707E2"/>
    <w:multiLevelType w:val="hybridMultilevel"/>
    <w:tmpl w:val="25B6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1604F2"/>
    <w:multiLevelType w:val="hybridMultilevel"/>
    <w:tmpl w:val="CC403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D23268"/>
    <w:multiLevelType w:val="hybridMultilevel"/>
    <w:tmpl w:val="FDCAD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551BDE"/>
    <w:multiLevelType w:val="hybridMultilevel"/>
    <w:tmpl w:val="9EEE8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FF1A94"/>
    <w:multiLevelType w:val="hybridMultilevel"/>
    <w:tmpl w:val="8D880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35150001">
    <w:abstractNumId w:val="10"/>
  </w:num>
  <w:num w:numId="2" w16cid:durableId="3827040">
    <w:abstractNumId w:val="9"/>
  </w:num>
  <w:num w:numId="3" w16cid:durableId="218059827">
    <w:abstractNumId w:val="7"/>
  </w:num>
  <w:num w:numId="4" w16cid:durableId="194776630">
    <w:abstractNumId w:val="6"/>
  </w:num>
  <w:num w:numId="5" w16cid:durableId="1372028008">
    <w:abstractNumId w:val="5"/>
  </w:num>
  <w:num w:numId="6" w16cid:durableId="1450705872">
    <w:abstractNumId w:val="4"/>
  </w:num>
  <w:num w:numId="7" w16cid:durableId="463036691">
    <w:abstractNumId w:val="8"/>
  </w:num>
  <w:num w:numId="8" w16cid:durableId="278342509">
    <w:abstractNumId w:val="3"/>
  </w:num>
  <w:num w:numId="9" w16cid:durableId="420177897">
    <w:abstractNumId w:val="2"/>
  </w:num>
  <w:num w:numId="10" w16cid:durableId="395973771">
    <w:abstractNumId w:val="1"/>
  </w:num>
  <w:num w:numId="11" w16cid:durableId="1196847966">
    <w:abstractNumId w:val="0"/>
  </w:num>
  <w:num w:numId="12" w16cid:durableId="1104156666">
    <w:abstractNumId w:val="17"/>
  </w:num>
  <w:num w:numId="13" w16cid:durableId="1064331860">
    <w:abstractNumId w:val="14"/>
  </w:num>
  <w:num w:numId="14" w16cid:durableId="2027247940">
    <w:abstractNumId w:val="12"/>
  </w:num>
  <w:num w:numId="15" w16cid:durableId="1104618291">
    <w:abstractNumId w:val="13"/>
  </w:num>
  <w:num w:numId="16" w16cid:durableId="1581056713">
    <w:abstractNumId w:val="11"/>
  </w:num>
  <w:num w:numId="17" w16cid:durableId="1760371690">
    <w:abstractNumId w:val="16"/>
  </w:num>
  <w:num w:numId="18" w16cid:durableId="81934580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colormru v:ext="edit" colors="#25416b,#609ed1,#e0da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ECD"/>
    <w:rsid w:val="00011AC7"/>
    <w:rsid w:val="000145AF"/>
    <w:rsid w:val="000169AC"/>
    <w:rsid w:val="000319EA"/>
    <w:rsid w:val="00037B29"/>
    <w:rsid w:val="00055911"/>
    <w:rsid w:val="0007057C"/>
    <w:rsid w:val="00074A49"/>
    <w:rsid w:val="000750CD"/>
    <w:rsid w:val="0009607C"/>
    <w:rsid w:val="00096F7C"/>
    <w:rsid w:val="000974CC"/>
    <w:rsid w:val="000A0A13"/>
    <w:rsid w:val="000A11D0"/>
    <w:rsid w:val="000A3109"/>
    <w:rsid w:val="000B111C"/>
    <w:rsid w:val="000B25FE"/>
    <w:rsid w:val="000C0865"/>
    <w:rsid w:val="000E3CD7"/>
    <w:rsid w:val="000E745A"/>
    <w:rsid w:val="00114690"/>
    <w:rsid w:val="00116725"/>
    <w:rsid w:val="00127A77"/>
    <w:rsid w:val="0014547D"/>
    <w:rsid w:val="0016572E"/>
    <w:rsid w:val="001707B4"/>
    <w:rsid w:val="00176308"/>
    <w:rsid w:val="001876B8"/>
    <w:rsid w:val="00190F10"/>
    <w:rsid w:val="001D3FC4"/>
    <w:rsid w:val="0020428E"/>
    <w:rsid w:val="00220D81"/>
    <w:rsid w:val="00240C82"/>
    <w:rsid w:val="0024687F"/>
    <w:rsid w:val="00253154"/>
    <w:rsid w:val="002627FE"/>
    <w:rsid w:val="002665FB"/>
    <w:rsid w:val="00282609"/>
    <w:rsid w:val="00291050"/>
    <w:rsid w:val="002A7FD5"/>
    <w:rsid w:val="002B5768"/>
    <w:rsid w:val="002B74DD"/>
    <w:rsid w:val="002C049E"/>
    <w:rsid w:val="002C37BC"/>
    <w:rsid w:val="002D0685"/>
    <w:rsid w:val="002E35A1"/>
    <w:rsid w:val="002E52A1"/>
    <w:rsid w:val="002E6610"/>
    <w:rsid w:val="00301C3B"/>
    <w:rsid w:val="003335F3"/>
    <w:rsid w:val="00333B57"/>
    <w:rsid w:val="00334188"/>
    <w:rsid w:val="00356A49"/>
    <w:rsid w:val="00363AF1"/>
    <w:rsid w:val="00373127"/>
    <w:rsid w:val="00384DE7"/>
    <w:rsid w:val="00392D8D"/>
    <w:rsid w:val="00394B72"/>
    <w:rsid w:val="003D3AC1"/>
    <w:rsid w:val="003DC2BD"/>
    <w:rsid w:val="003E77E9"/>
    <w:rsid w:val="003F45D4"/>
    <w:rsid w:val="003F7E8B"/>
    <w:rsid w:val="00407737"/>
    <w:rsid w:val="00407A8A"/>
    <w:rsid w:val="004242DB"/>
    <w:rsid w:val="00443B17"/>
    <w:rsid w:val="004467DC"/>
    <w:rsid w:val="00453E29"/>
    <w:rsid w:val="00455642"/>
    <w:rsid w:val="00456CD0"/>
    <w:rsid w:val="004723D6"/>
    <w:rsid w:val="004809D9"/>
    <w:rsid w:val="004A5472"/>
    <w:rsid w:val="004A7BD9"/>
    <w:rsid w:val="004A7D00"/>
    <w:rsid w:val="004B3ABD"/>
    <w:rsid w:val="004B4114"/>
    <w:rsid w:val="004E1526"/>
    <w:rsid w:val="004E1B17"/>
    <w:rsid w:val="004E4E35"/>
    <w:rsid w:val="0051050B"/>
    <w:rsid w:val="00522386"/>
    <w:rsid w:val="0054714D"/>
    <w:rsid w:val="00550347"/>
    <w:rsid w:val="005561BE"/>
    <w:rsid w:val="005601DB"/>
    <w:rsid w:val="00564F94"/>
    <w:rsid w:val="00595F60"/>
    <w:rsid w:val="005A01B8"/>
    <w:rsid w:val="005C09FF"/>
    <w:rsid w:val="005F1390"/>
    <w:rsid w:val="005F2A2D"/>
    <w:rsid w:val="00620F15"/>
    <w:rsid w:val="006233DA"/>
    <w:rsid w:val="006250FB"/>
    <w:rsid w:val="006536D2"/>
    <w:rsid w:val="00662928"/>
    <w:rsid w:val="00667592"/>
    <w:rsid w:val="00670A8F"/>
    <w:rsid w:val="00680A6E"/>
    <w:rsid w:val="006863C1"/>
    <w:rsid w:val="0069077F"/>
    <w:rsid w:val="0069247D"/>
    <w:rsid w:val="006A0B7B"/>
    <w:rsid w:val="006B21BA"/>
    <w:rsid w:val="006B2CE0"/>
    <w:rsid w:val="006B67F6"/>
    <w:rsid w:val="006C34C1"/>
    <w:rsid w:val="00704A4B"/>
    <w:rsid w:val="007062FD"/>
    <w:rsid w:val="007103B5"/>
    <w:rsid w:val="00715CD2"/>
    <w:rsid w:val="00717AB5"/>
    <w:rsid w:val="00732A6D"/>
    <w:rsid w:val="00745FC5"/>
    <w:rsid w:val="00766054"/>
    <w:rsid w:val="0076618E"/>
    <w:rsid w:val="00772ECD"/>
    <w:rsid w:val="007730EF"/>
    <w:rsid w:val="00787282"/>
    <w:rsid w:val="007C1504"/>
    <w:rsid w:val="007C4E85"/>
    <w:rsid w:val="007C7EB7"/>
    <w:rsid w:val="007D0413"/>
    <w:rsid w:val="007E262C"/>
    <w:rsid w:val="00815612"/>
    <w:rsid w:val="00820980"/>
    <w:rsid w:val="0082276B"/>
    <w:rsid w:val="00825EB0"/>
    <w:rsid w:val="00831147"/>
    <w:rsid w:val="00843802"/>
    <w:rsid w:val="00852913"/>
    <w:rsid w:val="00854290"/>
    <w:rsid w:val="00867DD8"/>
    <w:rsid w:val="00871F9A"/>
    <w:rsid w:val="008852BD"/>
    <w:rsid w:val="008B1555"/>
    <w:rsid w:val="008B25E2"/>
    <w:rsid w:val="008B4BCD"/>
    <w:rsid w:val="008C7EAD"/>
    <w:rsid w:val="008D2AD1"/>
    <w:rsid w:val="008F50A9"/>
    <w:rsid w:val="00906092"/>
    <w:rsid w:val="009230B4"/>
    <w:rsid w:val="0094528A"/>
    <w:rsid w:val="00946CB8"/>
    <w:rsid w:val="00957516"/>
    <w:rsid w:val="0096351E"/>
    <w:rsid w:val="00993250"/>
    <w:rsid w:val="009A2278"/>
    <w:rsid w:val="009A2C09"/>
    <w:rsid w:val="009C19B8"/>
    <w:rsid w:val="009C6CEF"/>
    <w:rsid w:val="009D1C5F"/>
    <w:rsid w:val="009D29D4"/>
    <w:rsid w:val="009F71A9"/>
    <w:rsid w:val="00A046FF"/>
    <w:rsid w:val="00A143F5"/>
    <w:rsid w:val="00A14D11"/>
    <w:rsid w:val="00A24839"/>
    <w:rsid w:val="00A375F9"/>
    <w:rsid w:val="00A65F73"/>
    <w:rsid w:val="00A73088"/>
    <w:rsid w:val="00A77EB3"/>
    <w:rsid w:val="00A80B50"/>
    <w:rsid w:val="00AC0C1F"/>
    <w:rsid w:val="00AF1A29"/>
    <w:rsid w:val="00AF2B91"/>
    <w:rsid w:val="00AF7866"/>
    <w:rsid w:val="00AF7C7F"/>
    <w:rsid w:val="00B03167"/>
    <w:rsid w:val="00B0688F"/>
    <w:rsid w:val="00B23D6C"/>
    <w:rsid w:val="00B25940"/>
    <w:rsid w:val="00B26375"/>
    <w:rsid w:val="00B34CF2"/>
    <w:rsid w:val="00B34E7E"/>
    <w:rsid w:val="00B43A57"/>
    <w:rsid w:val="00B5201C"/>
    <w:rsid w:val="00B65617"/>
    <w:rsid w:val="00B666FB"/>
    <w:rsid w:val="00BA0C44"/>
    <w:rsid w:val="00BA3878"/>
    <w:rsid w:val="00BC48BD"/>
    <w:rsid w:val="00BC5A3B"/>
    <w:rsid w:val="00BE0CB5"/>
    <w:rsid w:val="00C64B1B"/>
    <w:rsid w:val="00C84AB6"/>
    <w:rsid w:val="00C90D69"/>
    <w:rsid w:val="00C94069"/>
    <w:rsid w:val="00C9519F"/>
    <w:rsid w:val="00CB30DC"/>
    <w:rsid w:val="00CB4B4E"/>
    <w:rsid w:val="00CC5C1E"/>
    <w:rsid w:val="00CD2712"/>
    <w:rsid w:val="00CD5BD3"/>
    <w:rsid w:val="00CE5210"/>
    <w:rsid w:val="00D0341C"/>
    <w:rsid w:val="00D045EF"/>
    <w:rsid w:val="00D05B75"/>
    <w:rsid w:val="00D11139"/>
    <w:rsid w:val="00D140DC"/>
    <w:rsid w:val="00D20545"/>
    <w:rsid w:val="00D2518F"/>
    <w:rsid w:val="00D3263A"/>
    <w:rsid w:val="00D610A5"/>
    <w:rsid w:val="00D64A67"/>
    <w:rsid w:val="00D741A5"/>
    <w:rsid w:val="00D75DD6"/>
    <w:rsid w:val="00D94233"/>
    <w:rsid w:val="00D96997"/>
    <w:rsid w:val="00DA17B1"/>
    <w:rsid w:val="00DA6BFD"/>
    <w:rsid w:val="00DB2817"/>
    <w:rsid w:val="00DC4CE1"/>
    <w:rsid w:val="00DC5C0C"/>
    <w:rsid w:val="00DE5085"/>
    <w:rsid w:val="00DF6FC3"/>
    <w:rsid w:val="00E134F3"/>
    <w:rsid w:val="00E209F5"/>
    <w:rsid w:val="00E347E1"/>
    <w:rsid w:val="00E361E6"/>
    <w:rsid w:val="00E41BD8"/>
    <w:rsid w:val="00E571EA"/>
    <w:rsid w:val="00E67195"/>
    <w:rsid w:val="00E76A23"/>
    <w:rsid w:val="00E77A76"/>
    <w:rsid w:val="00E81024"/>
    <w:rsid w:val="00E828EA"/>
    <w:rsid w:val="00E94554"/>
    <w:rsid w:val="00EB0950"/>
    <w:rsid w:val="00EC0A87"/>
    <w:rsid w:val="00EC0AF5"/>
    <w:rsid w:val="00EC6010"/>
    <w:rsid w:val="00EC72A6"/>
    <w:rsid w:val="00EF09A6"/>
    <w:rsid w:val="00F12D61"/>
    <w:rsid w:val="00F146D7"/>
    <w:rsid w:val="00F22466"/>
    <w:rsid w:val="00F27F36"/>
    <w:rsid w:val="00F5094B"/>
    <w:rsid w:val="00F7753D"/>
    <w:rsid w:val="00F85226"/>
    <w:rsid w:val="00F8607D"/>
    <w:rsid w:val="00FC0FA4"/>
    <w:rsid w:val="00FD1B5B"/>
    <w:rsid w:val="01207516"/>
    <w:rsid w:val="0140D2C1"/>
    <w:rsid w:val="01D976EF"/>
    <w:rsid w:val="021FADA6"/>
    <w:rsid w:val="060D0E96"/>
    <w:rsid w:val="08104B02"/>
    <w:rsid w:val="0AC7575C"/>
    <w:rsid w:val="0BEC2142"/>
    <w:rsid w:val="11A3100B"/>
    <w:rsid w:val="11B80337"/>
    <w:rsid w:val="124DDE4A"/>
    <w:rsid w:val="12D26941"/>
    <w:rsid w:val="133F4B7F"/>
    <w:rsid w:val="1615501B"/>
    <w:rsid w:val="16A6F69E"/>
    <w:rsid w:val="17A5DA64"/>
    <w:rsid w:val="18D2B616"/>
    <w:rsid w:val="1AADAE1D"/>
    <w:rsid w:val="1BFED958"/>
    <w:rsid w:val="1C794B87"/>
    <w:rsid w:val="1DD0BC71"/>
    <w:rsid w:val="1DDC7330"/>
    <w:rsid w:val="1E692F87"/>
    <w:rsid w:val="1EB83D3C"/>
    <w:rsid w:val="1F5510D8"/>
    <w:rsid w:val="1FC22EBD"/>
    <w:rsid w:val="213AE352"/>
    <w:rsid w:val="23971682"/>
    <w:rsid w:val="23E7B0C9"/>
    <w:rsid w:val="2467B76E"/>
    <w:rsid w:val="24CD4B92"/>
    <w:rsid w:val="2566E588"/>
    <w:rsid w:val="27FD5929"/>
    <w:rsid w:val="295FBC15"/>
    <w:rsid w:val="2BEA070E"/>
    <w:rsid w:val="2D71F76D"/>
    <w:rsid w:val="2DC064DC"/>
    <w:rsid w:val="2E2A43A3"/>
    <w:rsid w:val="2E537A25"/>
    <w:rsid w:val="2F9A67D5"/>
    <w:rsid w:val="302383FA"/>
    <w:rsid w:val="30FFAFF0"/>
    <w:rsid w:val="31451646"/>
    <w:rsid w:val="31BE87DB"/>
    <w:rsid w:val="32463A13"/>
    <w:rsid w:val="32A85C4F"/>
    <w:rsid w:val="33E138F1"/>
    <w:rsid w:val="3482A0ED"/>
    <w:rsid w:val="34D18D4F"/>
    <w:rsid w:val="3506D30F"/>
    <w:rsid w:val="359637A6"/>
    <w:rsid w:val="3AE74D0C"/>
    <w:rsid w:val="3BC7B752"/>
    <w:rsid w:val="3BEC4AD6"/>
    <w:rsid w:val="3CC6E56C"/>
    <w:rsid w:val="3D31755E"/>
    <w:rsid w:val="3D881B37"/>
    <w:rsid w:val="3D986432"/>
    <w:rsid w:val="3D9F6CEE"/>
    <w:rsid w:val="3F6B8B09"/>
    <w:rsid w:val="40C492D7"/>
    <w:rsid w:val="433F8BF7"/>
    <w:rsid w:val="46BF6411"/>
    <w:rsid w:val="4873DEE9"/>
    <w:rsid w:val="489825F9"/>
    <w:rsid w:val="49A56874"/>
    <w:rsid w:val="4B4138D5"/>
    <w:rsid w:val="4C979475"/>
    <w:rsid w:val="4D91BF9F"/>
    <w:rsid w:val="51730FF7"/>
    <w:rsid w:val="5336932B"/>
    <w:rsid w:val="53473AAF"/>
    <w:rsid w:val="53E80C70"/>
    <w:rsid w:val="54F008A1"/>
    <w:rsid w:val="5B20CBB0"/>
    <w:rsid w:val="5C0E739B"/>
    <w:rsid w:val="5C905582"/>
    <w:rsid w:val="5E9D3A89"/>
    <w:rsid w:val="60B85134"/>
    <w:rsid w:val="62756EB7"/>
    <w:rsid w:val="6488A498"/>
    <w:rsid w:val="64ED040E"/>
    <w:rsid w:val="65062C6B"/>
    <w:rsid w:val="65707DF8"/>
    <w:rsid w:val="6667F2B0"/>
    <w:rsid w:val="667774FB"/>
    <w:rsid w:val="6711BD47"/>
    <w:rsid w:val="6A7B7340"/>
    <w:rsid w:val="6DE45102"/>
    <w:rsid w:val="6FFB5779"/>
    <w:rsid w:val="714CCB93"/>
    <w:rsid w:val="71E4AF73"/>
    <w:rsid w:val="73675777"/>
    <w:rsid w:val="74F9D255"/>
    <w:rsid w:val="751C5035"/>
    <w:rsid w:val="7566D5CF"/>
    <w:rsid w:val="76B82096"/>
    <w:rsid w:val="777360C9"/>
    <w:rsid w:val="78C6300A"/>
    <w:rsid w:val="78EB61EA"/>
    <w:rsid w:val="7918237A"/>
    <w:rsid w:val="7C4D03F2"/>
    <w:rsid w:val="7C662C4F"/>
    <w:rsid w:val="7D9AB35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25416b,#609ed1,#e0dadd"/>
    </o:shapedefaults>
    <o:shapelayout v:ext="edit">
      <o:idmap v:ext="edit" data="2"/>
    </o:shapelayout>
  </w:shapeDefaults>
  <w:doNotEmbedSmartTags/>
  <w:decimalSymbol w:val="."/>
  <w:listSeparator w:val=","/>
  <w14:docId w14:val="499E0A90"/>
  <w14:defaultImageDpi w14:val="300"/>
  <w15:chartTrackingRefBased/>
  <w15:docId w15:val="{F31DF548-B069-4C81-AD8E-7BD8B2687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Book Antiqua" w:eastAsia="Times New Roman" w:hAnsi="Book Antiqu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14D"/>
    <w:pPr>
      <w:spacing w:after="240"/>
    </w:pPr>
    <w:rPr>
      <w:sz w:val="22"/>
      <w:szCs w:val="22"/>
      <w:lang w:eastAsia="en-US"/>
    </w:rPr>
  </w:style>
  <w:style w:type="paragraph" w:styleId="Heading1">
    <w:name w:val="heading 1"/>
    <w:basedOn w:val="Normal"/>
    <w:next w:val="Normal"/>
    <w:link w:val="Heading1Char"/>
    <w:uiPriority w:val="9"/>
    <w:qFormat/>
    <w:rsid w:val="0054714D"/>
    <w:pPr>
      <w:keepNext/>
      <w:spacing w:before="240" w:after="0"/>
      <w:outlineLvl w:val="0"/>
    </w:pPr>
    <w:rPr>
      <w:b/>
      <w:bCs/>
      <w:kern w:val="32"/>
    </w:rPr>
  </w:style>
  <w:style w:type="paragraph" w:styleId="Heading2">
    <w:name w:val="heading 2"/>
    <w:basedOn w:val="Heading1"/>
    <w:next w:val="Normal"/>
    <w:link w:val="Heading2Char"/>
    <w:uiPriority w:val="9"/>
    <w:unhideWhenUsed/>
    <w:qFormat/>
    <w:rsid w:val="0054714D"/>
    <w:pPr>
      <w:spacing w:after="60"/>
      <w:outlineLvl w:val="1"/>
    </w:pPr>
    <w:rPr>
      <w:rFonts w:eastAsia="Yu Gothic Light"/>
      <w:b w:val="0"/>
      <w:bCs w:val="0"/>
      <w:i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328EC"/>
    <w:rPr>
      <w:rFonts w:ascii="Lucida Grande" w:hAnsi="Lucida Grande"/>
      <w:sz w:val="18"/>
      <w:szCs w:val="18"/>
    </w:rPr>
  </w:style>
  <w:style w:type="table" w:styleId="TableGrid">
    <w:name w:val="Table Grid"/>
    <w:basedOn w:val="TableNormal"/>
    <w:rsid w:val="009411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41190"/>
    <w:pPr>
      <w:tabs>
        <w:tab w:val="center" w:pos="4320"/>
        <w:tab w:val="right" w:pos="8640"/>
      </w:tabs>
    </w:pPr>
  </w:style>
  <w:style w:type="paragraph" w:styleId="Footer">
    <w:name w:val="footer"/>
    <w:basedOn w:val="Normal"/>
    <w:link w:val="FooterChar"/>
    <w:uiPriority w:val="99"/>
    <w:rsid w:val="00941190"/>
    <w:pPr>
      <w:tabs>
        <w:tab w:val="center" w:pos="4320"/>
        <w:tab w:val="right" w:pos="8640"/>
      </w:tabs>
    </w:pPr>
  </w:style>
  <w:style w:type="character" w:styleId="Hyperlink">
    <w:name w:val="Hyperlink"/>
    <w:rsid w:val="00941190"/>
    <w:rPr>
      <w:color w:val="0000FF"/>
      <w:u w:val="single"/>
    </w:rPr>
  </w:style>
  <w:style w:type="character" w:styleId="PageNumber">
    <w:name w:val="page number"/>
    <w:uiPriority w:val="99"/>
    <w:semiHidden/>
    <w:unhideWhenUsed/>
    <w:rsid w:val="004A5472"/>
  </w:style>
  <w:style w:type="character" w:customStyle="1" w:styleId="FooterChar">
    <w:name w:val="Footer Char"/>
    <w:link w:val="Footer"/>
    <w:uiPriority w:val="99"/>
    <w:rsid w:val="00A14D11"/>
    <w:rPr>
      <w:sz w:val="24"/>
      <w:szCs w:val="24"/>
    </w:rPr>
  </w:style>
  <w:style w:type="character" w:customStyle="1" w:styleId="Heading1Char">
    <w:name w:val="Heading 1 Char"/>
    <w:link w:val="Heading1"/>
    <w:uiPriority w:val="9"/>
    <w:rsid w:val="0054714D"/>
    <w:rPr>
      <w:b/>
      <w:bCs/>
      <w:kern w:val="32"/>
      <w:sz w:val="22"/>
      <w:szCs w:val="22"/>
    </w:rPr>
  </w:style>
  <w:style w:type="paragraph" w:styleId="Title">
    <w:name w:val="Title"/>
    <w:basedOn w:val="Normal"/>
    <w:next w:val="Normal"/>
    <w:link w:val="TitleChar"/>
    <w:uiPriority w:val="10"/>
    <w:qFormat/>
    <w:rsid w:val="0054714D"/>
    <w:pPr>
      <w:spacing w:before="240" w:after="60"/>
      <w:jc w:val="center"/>
      <w:outlineLvl w:val="0"/>
    </w:pPr>
    <w:rPr>
      <w:b/>
      <w:bCs/>
      <w:kern w:val="28"/>
      <w:sz w:val="28"/>
      <w:szCs w:val="32"/>
    </w:rPr>
  </w:style>
  <w:style w:type="character" w:customStyle="1" w:styleId="TitleChar">
    <w:name w:val="Title Char"/>
    <w:link w:val="Title"/>
    <w:uiPriority w:val="10"/>
    <w:rsid w:val="0054714D"/>
    <w:rPr>
      <w:b/>
      <w:bCs/>
      <w:kern w:val="28"/>
      <w:sz w:val="28"/>
      <w:szCs w:val="32"/>
    </w:rPr>
  </w:style>
  <w:style w:type="paragraph" w:styleId="Subtitle">
    <w:name w:val="Subtitle"/>
    <w:basedOn w:val="Normal"/>
    <w:next w:val="Normal"/>
    <w:link w:val="SubtitleChar"/>
    <w:uiPriority w:val="11"/>
    <w:qFormat/>
    <w:rsid w:val="004B4114"/>
    <w:pPr>
      <w:spacing w:after="60"/>
      <w:jc w:val="center"/>
      <w:outlineLvl w:val="1"/>
    </w:pPr>
  </w:style>
  <w:style w:type="character" w:customStyle="1" w:styleId="SubtitleChar">
    <w:name w:val="Subtitle Char"/>
    <w:link w:val="Subtitle"/>
    <w:uiPriority w:val="11"/>
    <w:rsid w:val="004B4114"/>
    <w:rPr>
      <w:rFonts w:ascii="Book Antiqua" w:eastAsia="Times New Roman" w:hAnsi="Book Antiqua" w:cs="Times New Roman"/>
      <w:sz w:val="24"/>
      <w:szCs w:val="24"/>
    </w:rPr>
  </w:style>
  <w:style w:type="character" w:styleId="Emphasis">
    <w:name w:val="Emphasis"/>
    <w:uiPriority w:val="20"/>
    <w:qFormat/>
    <w:rsid w:val="004B4114"/>
    <w:rPr>
      <w:rFonts w:ascii="Book Antiqua" w:hAnsi="Book Antiqua"/>
      <w:i/>
      <w:iCs/>
    </w:rPr>
  </w:style>
  <w:style w:type="character" w:styleId="Strong">
    <w:name w:val="Strong"/>
    <w:uiPriority w:val="22"/>
    <w:qFormat/>
    <w:rsid w:val="004B4114"/>
    <w:rPr>
      <w:rFonts w:ascii="Book Antiqua" w:hAnsi="Book Antiqua"/>
      <w:b/>
      <w:bCs/>
    </w:rPr>
  </w:style>
  <w:style w:type="paragraph" w:styleId="IntenseQuote">
    <w:name w:val="Intense Quote"/>
    <w:basedOn w:val="Normal"/>
    <w:next w:val="Normal"/>
    <w:link w:val="IntenseQuoteChar"/>
    <w:uiPriority w:val="60"/>
    <w:rsid w:val="004B4114"/>
    <w:pPr>
      <w:pBdr>
        <w:top w:val="single" w:sz="4" w:space="10" w:color="4472C4"/>
        <w:bottom w:val="single" w:sz="4" w:space="10" w:color="4472C4"/>
      </w:pBdr>
      <w:spacing w:before="360" w:after="360"/>
      <w:ind w:left="864" w:right="864"/>
      <w:jc w:val="center"/>
    </w:pPr>
    <w:rPr>
      <w:i/>
      <w:iCs/>
      <w:color w:val="4472C4"/>
    </w:rPr>
  </w:style>
  <w:style w:type="character" w:customStyle="1" w:styleId="IntenseQuoteChar">
    <w:name w:val="Intense Quote Char"/>
    <w:link w:val="IntenseQuote"/>
    <w:uiPriority w:val="60"/>
    <w:rsid w:val="004B4114"/>
    <w:rPr>
      <w:rFonts w:ascii="Book Antiqua" w:hAnsi="Book Antiqua"/>
      <w:i/>
      <w:iCs/>
      <w:color w:val="4472C4"/>
      <w:sz w:val="24"/>
      <w:szCs w:val="24"/>
    </w:rPr>
  </w:style>
  <w:style w:type="character" w:styleId="SubtleEmphasis">
    <w:name w:val="Subtle Emphasis"/>
    <w:uiPriority w:val="65"/>
    <w:rsid w:val="004B4114"/>
    <w:rPr>
      <w:rFonts w:ascii="Book Antiqua" w:hAnsi="Book Antiqua"/>
      <w:i/>
      <w:iCs/>
      <w:color w:val="404040"/>
    </w:rPr>
  </w:style>
  <w:style w:type="character" w:styleId="IntenseEmphasis">
    <w:name w:val="Intense Emphasis"/>
    <w:uiPriority w:val="66"/>
    <w:rsid w:val="004B4114"/>
    <w:rPr>
      <w:rFonts w:ascii="Book Antiqua" w:hAnsi="Book Antiqua"/>
      <w:i/>
      <w:iCs/>
      <w:color w:val="4472C4"/>
    </w:rPr>
  </w:style>
  <w:style w:type="character" w:styleId="SubtleReference">
    <w:name w:val="Subtle Reference"/>
    <w:uiPriority w:val="67"/>
    <w:rsid w:val="004B4114"/>
    <w:rPr>
      <w:rFonts w:ascii="Book Antiqua" w:hAnsi="Book Antiqua"/>
      <w:smallCaps/>
      <w:color w:val="5A5A5A"/>
    </w:rPr>
  </w:style>
  <w:style w:type="character" w:styleId="IntenseReference">
    <w:name w:val="Intense Reference"/>
    <w:uiPriority w:val="68"/>
    <w:rsid w:val="004B4114"/>
    <w:rPr>
      <w:rFonts w:ascii="Book Antiqua" w:hAnsi="Book Antiqua"/>
      <w:b/>
      <w:bCs/>
      <w:smallCaps/>
      <w:color w:val="4472C4"/>
      <w:spacing w:val="5"/>
    </w:rPr>
  </w:style>
  <w:style w:type="character" w:styleId="BookTitle">
    <w:name w:val="Book Title"/>
    <w:uiPriority w:val="69"/>
    <w:qFormat/>
    <w:rsid w:val="004B4114"/>
    <w:rPr>
      <w:rFonts w:ascii="Book Antiqua" w:hAnsi="Book Antiqua"/>
      <w:b/>
      <w:bCs/>
      <w:i/>
      <w:iCs/>
      <w:spacing w:val="5"/>
    </w:rPr>
  </w:style>
  <w:style w:type="paragraph" w:styleId="ListParagraph">
    <w:name w:val="List Paragraph"/>
    <w:basedOn w:val="Normal"/>
    <w:uiPriority w:val="72"/>
    <w:rsid w:val="004B4114"/>
    <w:pPr>
      <w:ind w:left="720"/>
    </w:pPr>
  </w:style>
  <w:style w:type="paragraph" w:styleId="Quote">
    <w:name w:val="Quote"/>
    <w:basedOn w:val="Normal"/>
    <w:next w:val="Normal"/>
    <w:link w:val="QuoteChar"/>
    <w:uiPriority w:val="73"/>
    <w:rsid w:val="004B4114"/>
    <w:pPr>
      <w:spacing w:before="200" w:after="160"/>
      <w:ind w:left="864" w:right="864"/>
      <w:jc w:val="center"/>
    </w:pPr>
    <w:rPr>
      <w:i/>
      <w:iCs/>
      <w:color w:val="404040"/>
    </w:rPr>
  </w:style>
  <w:style w:type="character" w:customStyle="1" w:styleId="QuoteChar">
    <w:name w:val="Quote Char"/>
    <w:link w:val="Quote"/>
    <w:uiPriority w:val="73"/>
    <w:rsid w:val="004B4114"/>
    <w:rPr>
      <w:rFonts w:ascii="Book Antiqua" w:hAnsi="Book Antiqua"/>
      <w:i/>
      <w:iCs/>
      <w:color w:val="404040"/>
      <w:sz w:val="24"/>
      <w:szCs w:val="24"/>
    </w:rPr>
  </w:style>
  <w:style w:type="paragraph" w:styleId="NoSpacing">
    <w:name w:val="No Spacing"/>
    <w:uiPriority w:val="99"/>
    <w:qFormat/>
    <w:rsid w:val="0069247D"/>
    <w:rPr>
      <w:sz w:val="22"/>
      <w:szCs w:val="24"/>
      <w:lang w:eastAsia="en-US"/>
    </w:rPr>
  </w:style>
  <w:style w:type="character" w:customStyle="1" w:styleId="Heading2Char">
    <w:name w:val="Heading 2 Char"/>
    <w:link w:val="Heading2"/>
    <w:uiPriority w:val="9"/>
    <w:rsid w:val="0054714D"/>
    <w:rPr>
      <w:rFonts w:eastAsia="Yu Gothic Light" w:cs="Times New Roman"/>
      <w:iCs/>
      <w:kern w:val="32"/>
      <w:sz w:val="22"/>
      <w:szCs w:val="28"/>
      <w:u w:val="single"/>
    </w:rPr>
  </w:style>
  <w:style w:type="paragraph" w:styleId="BlockText">
    <w:name w:val="Block Text"/>
    <w:basedOn w:val="Normal"/>
    <w:uiPriority w:val="99"/>
    <w:unhideWhenUsed/>
    <w:qFormat/>
    <w:rsid w:val="0054714D"/>
    <w:pPr>
      <w:ind w:left="720" w:right="1440"/>
    </w:pPr>
  </w:style>
  <w:style w:type="paragraph" w:customStyle="1" w:styleId="paragraph">
    <w:name w:val="paragraph"/>
    <w:basedOn w:val="Normal"/>
    <w:rsid w:val="001876B8"/>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1876B8"/>
  </w:style>
  <w:style w:type="character" w:customStyle="1" w:styleId="eop">
    <w:name w:val="eop"/>
    <w:basedOn w:val="DefaultParagraphFont"/>
    <w:rsid w:val="001876B8"/>
  </w:style>
  <w:style w:type="paragraph" w:styleId="FootnoteText">
    <w:name w:val="footnote text"/>
    <w:basedOn w:val="Normal"/>
    <w:link w:val="FootnoteTextChar"/>
    <w:uiPriority w:val="99"/>
    <w:semiHidden/>
    <w:unhideWhenUsed/>
    <w:rsid w:val="00AF7866"/>
    <w:pPr>
      <w:spacing w:after="0"/>
    </w:pPr>
    <w:rPr>
      <w:sz w:val="20"/>
      <w:szCs w:val="20"/>
    </w:rPr>
  </w:style>
  <w:style w:type="character" w:customStyle="1" w:styleId="FootnoteTextChar">
    <w:name w:val="Footnote Text Char"/>
    <w:basedOn w:val="DefaultParagraphFont"/>
    <w:link w:val="FootnoteText"/>
    <w:uiPriority w:val="99"/>
    <w:semiHidden/>
    <w:rsid w:val="00AF7866"/>
    <w:rPr>
      <w:lang w:eastAsia="en-US"/>
    </w:rPr>
  </w:style>
  <w:style w:type="character" w:styleId="FootnoteReference">
    <w:name w:val="footnote reference"/>
    <w:basedOn w:val="DefaultParagraphFont"/>
    <w:uiPriority w:val="99"/>
    <w:semiHidden/>
    <w:unhideWhenUsed/>
    <w:rsid w:val="00AF7866"/>
    <w:rPr>
      <w:vertAlign w:val="superscript"/>
    </w:rPr>
  </w:style>
  <w:style w:type="character" w:styleId="CommentReference">
    <w:name w:val="annotation reference"/>
    <w:basedOn w:val="DefaultParagraphFont"/>
    <w:uiPriority w:val="99"/>
    <w:semiHidden/>
    <w:unhideWhenUsed/>
    <w:rsid w:val="00AF7866"/>
    <w:rPr>
      <w:sz w:val="16"/>
      <w:szCs w:val="16"/>
    </w:rPr>
  </w:style>
  <w:style w:type="paragraph" w:styleId="CommentText">
    <w:name w:val="annotation text"/>
    <w:basedOn w:val="Normal"/>
    <w:link w:val="CommentTextChar"/>
    <w:uiPriority w:val="99"/>
    <w:unhideWhenUsed/>
    <w:rsid w:val="00AF7866"/>
    <w:rPr>
      <w:sz w:val="20"/>
      <w:szCs w:val="20"/>
    </w:rPr>
  </w:style>
  <w:style w:type="character" w:customStyle="1" w:styleId="CommentTextChar">
    <w:name w:val="Comment Text Char"/>
    <w:basedOn w:val="DefaultParagraphFont"/>
    <w:link w:val="CommentText"/>
    <w:uiPriority w:val="99"/>
    <w:rsid w:val="00AF7866"/>
    <w:rPr>
      <w:lang w:eastAsia="en-US"/>
    </w:rPr>
  </w:style>
  <w:style w:type="paragraph" w:styleId="CommentSubject">
    <w:name w:val="annotation subject"/>
    <w:basedOn w:val="CommentText"/>
    <w:next w:val="CommentText"/>
    <w:link w:val="CommentSubjectChar"/>
    <w:uiPriority w:val="99"/>
    <w:semiHidden/>
    <w:unhideWhenUsed/>
    <w:rsid w:val="00AF7866"/>
    <w:rPr>
      <w:b/>
      <w:bCs/>
    </w:rPr>
  </w:style>
  <w:style w:type="character" w:customStyle="1" w:styleId="CommentSubjectChar">
    <w:name w:val="Comment Subject Char"/>
    <w:basedOn w:val="CommentTextChar"/>
    <w:link w:val="CommentSubject"/>
    <w:uiPriority w:val="99"/>
    <w:semiHidden/>
    <w:rsid w:val="00AF7866"/>
    <w:rPr>
      <w:b/>
      <w:bCs/>
      <w:lang w:eastAsia="en-US"/>
    </w:rPr>
  </w:style>
  <w:style w:type="character" w:styleId="UnresolvedMention">
    <w:name w:val="Unresolved Mention"/>
    <w:basedOn w:val="DefaultParagraphFont"/>
    <w:uiPriority w:val="99"/>
    <w:semiHidden/>
    <w:unhideWhenUsed/>
    <w:rsid w:val="00AF7866"/>
    <w:rPr>
      <w:color w:val="605E5C"/>
      <w:shd w:val="clear" w:color="auto" w:fill="E1DFDD"/>
    </w:rPr>
  </w:style>
  <w:style w:type="paragraph" w:styleId="Revision">
    <w:name w:val="Revision"/>
    <w:hidden/>
    <w:uiPriority w:val="71"/>
    <w:rsid w:val="00AF7866"/>
    <w:rPr>
      <w:sz w:val="22"/>
      <w:szCs w:val="22"/>
      <w:lang w:eastAsia="en-US"/>
    </w:rPr>
  </w:style>
  <w:style w:type="paragraph" w:customStyle="1" w:styleId="pf0">
    <w:name w:val="pf0"/>
    <w:basedOn w:val="Normal"/>
    <w:rsid w:val="00AF7866"/>
    <w:pPr>
      <w:spacing w:before="100" w:beforeAutospacing="1" w:after="100" w:afterAutospacing="1"/>
    </w:pPr>
    <w:rPr>
      <w:rFonts w:ascii="Times New Roman" w:hAnsi="Times New Roman"/>
      <w:sz w:val="24"/>
      <w:szCs w:val="24"/>
    </w:rPr>
  </w:style>
  <w:style w:type="character" w:customStyle="1" w:styleId="cf01">
    <w:name w:val="cf01"/>
    <w:basedOn w:val="DefaultParagraphFont"/>
    <w:rsid w:val="00AF7866"/>
    <w:rPr>
      <w:rFonts w:ascii="Segoe UI" w:hAnsi="Segoe UI" w:cs="Segoe UI" w:hint="default"/>
      <w:sz w:val="18"/>
      <w:szCs w:val="18"/>
    </w:rPr>
  </w:style>
  <w:style w:type="character" w:styleId="FollowedHyperlink">
    <w:name w:val="FollowedHyperlink"/>
    <w:basedOn w:val="DefaultParagraphFont"/>
    <w:uiPriority w:val="99"/>
    <w:semiHidden/>
    <w:unhideWhenUsed/>
    <w:rsid w:val="00A375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258304">
      <w:bodyDiv w:val="1"/>
      <w:marLeft w:val="0"/>
      <w:marRight w:val="0"/>
      <w:marTop w:val="0"/>
      <w:marBottom w:val="0"/>
      <w:divBdr>
        <w:top w:val="none" w:sz="0" w:space="0" w:color="auto"/>
        <w:left w:val="none" w:sz="0" w:space="0" w:color="auto"/>
        <w:bottom w:val="none" w:sz="0" w:space="0" w:color="auto"/>
        <w:right w:val="none" w:sz="0" w:space="0" w:color="auto"/>
      </w:divBdr>
    </w:div>
    <w:div w:id="718238644">
      <w:bodyDiv w:val="1"/>
      <w:marLeft w:val="0"/>
      <w:marRight w:val="0"/>
      <w:marTop w:val="0"/>
      <w:marBottom w:val="0"/>
      <w:divBdr>
        <w:top w:val="none" w:sz="0" w:space="0" w:color="auto"/>
        <w:left w:val="none" w:sz="0" w:space="0" w:color="auto"/>
        <w:bottom w:val="none" w:sz="0" w:space="0" w:color="auto"/>
        <w:right w:val="none" w:sz="0" w:space="0" w:color="auto"/>
      </w:divBdr>
      <w:divsChild>
        <w:div w:id="12922345">
          <w:marLeft w:val="0"/>
          <w:marRight w:val="0"/>
          <w:marTop w:val="0"/>
          <w:marBottom w:val="0"/>
          <w:divBdr>
            <w:top w:val="none" w:sz="0" w:space="0" w:color="auto"/>
            <w:left w:val="none" w:sz="0" w:space="0" w:color="auto"/>
            <w:bottom w:val="none" w:sz="0" w:space="0" w:color="auto"/>
            <w:right w:val="none" w:sz="0" w:space="0" w:color="auto"/>
          </w:divBdr>
          <w:divsChild>
            <w:div w:id="2104111498">
              <w:marLeft w:val="0"/>
              <w:marRight w:val="0"/>
              <w:marTop w:val="0"/>
              <w:marBottom w:val="0"/>
              <w:divBdr>
                <w:top w:val="none" w:sz="0" w:space="0" w:color="auto"/>
                <w:left w:val="none" w:sz="0" w:space="0" w:color="auto"/>
                <w:bottom w:val="none" w:sz="0" w:space="0" w:color="auto"/>
                <w:right w:val="none" w:sz="0" w:space="0" w:color="auto"/>
              </w:divBdr>
            </w:div>
          </w:divsChild>
        </w:div>
        <w:div w:id="102192193">
          <w:marLeft w:val="0"/>
          <w:marRight w:val="0"/>
          <w:marTop w:val="0"/>
          <w:marBottom w:val="0"/>
          <w:divBdr>
            <w:top w:val="none" w:sz="0" w:space="0" w:color="auto"/>
            <w:left w:val="none" w:sz="0" w:space="0" w:color="auto"/>
            <w:bottom w:val="none" w:sz="0" w:space="0" w:color="auto"/>
            <w:right w:val="none" w:sz="0" w:space="0" w:color="auto"/>
          </w:divBdr>
          <w:divsChild>
            <w:div w:id="2075663759">
              <w:marLeft w:val="0"/>
              <w:marRight w:val="0"/>
              <w:marTop w:val="0"/>
              <w:marBottom w:val="0"/>
              <w:divBdr>
                <w:top w:val="none" w:sz="0" w:space="0" w:color="auto"/>
                <w:left w:val="none" w:sz="0" w:space="0" w:color="auto"/>
                <w:bottom w:val="none" w:sz="0" w:space="0" w:color="auto"/>
                <w:right w:val="none" w:sz="0" w:space="0" w:color="auto"/>
              </w:divBdr>
            </w:div>
          </w:divsChild>
        </w:div>
        <w:div w:id="104888619">
          <w:marLeft w:val="0"/>
          <w:marRight w:val="0"/>
          <w:marTop w:val="0"/>
          <w:marBottom w:val="0"/>
          <w:divBdr>
            <w:top w:val="none" w:sz="0" w:space="0" w:color="auto"/>
            <w:left w:val="none" w:sz="0" w:space="0" w:color="auto"/>
            <w:bottom w:val="none" w:sz="0" w:space="0" w:color="auto"/>
            <w:right w:val="none" w:sz="0" w:space="0" w:color="auto"/>
          </w:divBdr>
          <w:divsChild>
            <w:div w:id="1778526304">
              <w:marLeft w:val="0"/>
              <w:marRight w:val="0"/>
              <w:marTop w:val="0"/>
              <w:marBottom w:val="0"/>
              <w:divBdr>
                <w:top w:val="none" w:sz="0" w:space="0" w:color="auto"/>
                <w:left w:val="none" w:sz="0" w:space="0" w:color="auto"/>
                <w:bottom w:val="none" w:sz="0" w:space="0" w:color="auto"/>
                <w:right w:val="none" w:sz="0" w:space="0" w:color="auto"/>
              </w:divBdr>
            </w:div>
          </w:divsChild>
        </w:div>
        <w:div w:id="167989504">
          <w:marLeft w:val="0"/>
          <w:marRight w:val="0"/>
          <w:marTop w:val="0"/>
          <w:marBottom w:val="0"/>
          <w:divBdr>
            <w:top w:val="none" w:sz="0" w:space="0" w:color="auto"/>
            <w:left w:val="none" w:sz="0" w:space="0" w:color="auto"/>
            <w:bottom w:val="none" w:sz="0" w:space="0" w:color="auto"/>
            <w:right w:val="none" w:sz="0" w:space="0" w:color="auto"/>
          </w:divBdr>
          <w:divsChild>
            <w:div w:id="6905502">
              <w:marLeft w:val="0"/>
              <w:marRight w:val="0"/>
              <w:marTop w:val="0"/>
              <w:marBottom w:val="0"/>
              <w:divBdr>
                <w:top w:val="none" w:sz="0" w:space="0" w:color="auto"/>
                <w:left w:val="none" w:sz="0" w:space="0" w:color="auto"/>
                <w:bottom w:val="none" w:sz="0" w:space="0" w:color="auto"/>
                <w:right w:val="none" w:sz="0" w:space="0" w:color="auto"/>
              </w:divBdr>
            </w:div>
          </w:divsChild>
        </w:div>
        <w:div w:id="192693199">
          <w:marLeft w:val="0"/>
          <w:marRight w:val="0"/>
          <w:marTop w:val="0"/>
          <w:marBottom w:val="0"/>
          <w:divBdr>
            <w:top w:val="none" w:sz="0" w:space="0" w:color="auto"/>
            <w:left w:val="none" w:sz="0" w:space="0" w:color="auto"/>
            <w:bottom w:val="none" w:sz="0" w:space="0" w:color="auto"/>
            <w:right w:val="none" w:sz="0" w:space="0" w:color="auto"/>
          </w:divBdr>
          <w:divsChild>
            <w:div w:id="1714571846">
              <w:marLeft w:val="0"/>
              <w:marRight w:val="0"/>
              <w:marTop w:val="0"/>
              <w:marBottom w:val="0"/>
              <w:divBdr>
                <w:top w:val="none" w:sz="0" w:space="0" w:color="auto"/>
                <w:left w:val="none" w:sz="0" w:space="0" w:color="auto"/>
                <w:bottom w:val="none" w:sz="0" w:space="0" w:color="auto"/>
                <w:right w:val="none" w:sz="0" w:space="0" w:color="auto"/>
              </w:divBdr>
            </w:div>
          </w:divsChild>
        </w:div>
        <w:div w:id="218321804">
          <w:marLeft w:val="0"/>
          <w:marRight w:val="0"/>
          <w:marTop w:val="0"/>
          <w:marBottom w:val="0"/>
          <w:divBdr>
            <w:top w:val="none" w:sz="0" w:space="0" w:color="auto"/>
            <w:left w:val="none" w:sz="0" w:space="0" w:color="auto"/>
            <w:bottom w:val="none" w:sz="0" w:space="0" w:color="auto"/>
            <w:right w:val="none" w:sz="0" w:space="0" w:color="auto"/>
          </w:divBdr>
          <w:divsChild>
            <w:div w:id="420103680">
              <w:marLeft w:val="0"/>
              <w:marRight w:val="0"/>
              <w:marTop w:val="0"/>
              <w:marBottom w:val="0"/>
              <w:divBdr>
                <w:top w:val="none" w:sz="0" w:space="0" w:color="auto"/>
                <w:left w:val="none" w:sz="0" w:space="0" w:color="auto"/>
                <w:bottom w:val="none" w:sz="0" w:space="0" w:color="auto"/>
                <w:right w:val="none" w:sz="0" w:space="0" w:color="auto"/>
              </w:divBdr>
            </w:div>
          </w:divsChild>
        </w:div>
        <w:div w:id="244612442">
          <w:marLeft w:val="0"/>
          <w:marRight w:val="0"/>
          <w:marTop w:val="0"/>
          <w:marBottom w:val="0"/>
          <w:divBdr>
            <w:top w:val="none" w:sz="0" w:space="0" w:color="auto"/>
            <w:left w:val="none" w:sz="0" w:space="0" w:color="auto"/>
            <w:bottom w:val="none" w:sz="0" w:space="0" w:color="auto"/>
            <w:right w:val="none" w:sz="0" w:space="0" w:color="auto"/>
          </w:divBdr>
          <w:divsChild>
            <w:div w:id="2000498198">
              <w:marLeft w:val="0"/>
              <w:marRight w:val="0"/>
              <w:marTop w:val="0"/>
              <w:marBottom w:val="0"/>
              <w:divBdr>
                <w:top w:val="none" w:sz="0" w:space="0" w:color="auto"/>
                <w:left w:val="none" w:sz="0" w:space="0" w:color="auto"/>
                <w:bottom w:val="none" w:sz="0" w:space="0" w:color="auto"/>
                <w:right w:val="none" w:sz="0" w:space="0" w:color="auto"/>
              </w:divBdr>
            </w:div>
          </w:divsChild>
        </w:div>
        <w:div w:id="291982069">
          <w:marLeft w:val="0"/>
          <w:marRight w:val="0"/>
          <w:marTop w:val="0"/>
          <w:marBottom w:val="0"/>
          <w:divBdr>
            <w:top w:val="none" w:sz="0" w:space="0" w:color="auto"/>
            <w:left w:val="none" w:sz="0" w:space="0" w:color="auto"/>
            <w:bottom w:val="none" w:sz="0" w:space="0" w:color="auto"/>
            <w:right w:val="none" w:sz="0" w:space="0" w:color="auto"/>
          </w:divBdr>
          <w:divsChild>
            <w:div w:id="296884229">
              <w:marLeft w:val="0"/>
              <w:marRight w:val="0"/>
              <w:marTop w:val="0"/>
              <w:marBottom w:val="0"/>
              <w:divBdr>
                <w:top w:val="none" w:sz="0" w:space="0" w:color="auto"/>
                <w:left w:val="none" w:sz="0" w:space="0" w:color="auto"/>
                <w:bottom w:val="none" w:sz="0" w:space="0" w:color="auto"/>
                <w:right w:val="none" w:sz="0" w:space="0" w:color="auto"/>
              </w:divBdr>
            </w:div>
          </w:divsChild>
        </w:div>
        <w:div w:id="459111162">
          <w:marLeft w:val="0"/>
          <w:marRight w:val="0"/>
          <w:marTop w:val="0"/>
          <w:marBottom w:val="0"/>
          <w:divBdr>
            <w:top w:val="none" w:sz="0" w:space="0" w:color="auto"/>
            <w:left w:val="none" w:sz="0" w:space="0" w:color="auto"/>
            <w:bottom w:val="none" w:sz="0" w:space="0" w:color="auto"/>
            <w:right w:val="none" w:sz="0" w:space="0" w:color="auto"/>
          </w:divBdr>
          <w:divsChild>
            <w:div w:id="720515700">
              <w:marLeft w:val="0"/>
              <w:marRight w:val="0"/>
              <w:marTop w:val="0"/>
              <w:marBottom w:val="0"/>
              <w:divBdr>
                <w:top w:val="none" w:sz="0" w:space="0" w:color="auto"/>
                <w:left w:val="none" w:sz="0" w:space="0" w:color="auto"/>
                <w:bottom w:val="none" w:sz="0" w:space="0" w:color="auto"/>
                <w:right w:val="none" w:sz="0" w:space="0" w:color="auto"/>
              </w:divBdr>
            </w:div>
          </w:divsChild>
        </w:div>
        <w:div w:id="551968939">
          <w:marLeft w:val="0"/>
          <w:marRight w:val="0"/>
          <w:marTop w:val="0"/>
          <w:marBottom w:val="0"/>
          <w:divBdr>
            <w:top w:val="none" w:sz="0" w:space="0" w:color="auto"/>
            <w:left w:val="none" w:sz="0" w:space="0" w:color="auto"/>
            <w:bottom w:val="none" w:sz="0" w:space="0" w:color="auto"/>
            <w:right w:val="none" w:sz="0" w:space="0" w:color="auto"/>
          </w:divBdr>
          <w:divsChild>
            <w:div w:id="96293804">
              <w:marLeft w:val="0"/>
              <w:marRight w:val="0"/>
              <w:marTop w:val="0"/>
              <w:marBottom w:val="0"/>
              <w:divBdr>
                <w:top w:val="none" w:sz="0" w:space="0" w:color="auto"/>
                <w:left w:val="none" w:sz="0" w:space="0" w:color="auto"/>
                <w:bottom w:val="none" w:sz="0" w:space="0" w:color="auto"/>
                <w:right w:val="none" w:sz="0" w:space="0" w:color="auto"/>
              </w:divBdr>
            </w:div>
          </w:divsChild>
        </w:div>
        <w:div w:id="625820336">
          <w:marLeft w:val="0"/>
          <w:marRight w:val="0"/>
          <w:marTop w:val="0"/>
          <w:marBottom w:val="0"/>
          <w:divBdr>
            <w:top w:val="none" w:sz="0" w:space="0" w:color="auto"/>
            <w:left w:val="none" w:sz="0" w:space="0" w:color="auto"/>
            <w:bottom w:val="none" w:sz="0" w:space="0" w:color="auto"/>
            <w:right w:val="none" w:sz="0" w:space="0" w:color="auto"/>
          </w:divBdr>
          <w:divsChild>
            <w:div w:id="1262762216">
              <w:marLeft w:val="0"/>
              <w:marRight w:val="0"/>
              <w:marTop w:val="0"/>
              <w:marBottom w:val="0"/>
              <w:divBdr>
                <w:top w:val="none" w:sz="0" w:space="0" w:color="auto"/>
                <w:left w:val="none" w:sz="0" w:space="0" w:color="auto"/>
                <w:bottom w:val="none" w:sz="0" w:space="0" w:color="auto"/>
                <w:right w:val="none" w:sz="0" w:space="0" w:color="auto"/>
              </w:divBdr>
            </w:div>
          </w:divsChild>
        </w:div>
        <w:div w:id="630474610">
          <w:marLeft w:val="0"/>
          <w:marRight w:val="0"/>
          <w:marTop w:val="0"/>
          <w:marBottom w:val="0"/>
          <w:divBdr>
            <w:top w:val="none" w:sz="0" w:space="0" w:color="auto"/>
            <w:left w:val="none" w:sz="0" w:space="0" w:color="auto"/>
            <w:bottom w:val="none" w:sz="0" w:space="0" w:color="auto"/>
            <w:right w:val="none" w:sz="0" w:space="0" w:color="auto"/>
          </w:divBdr>
          <w:divsChild>
            <w:div w:id="1349673815">
              <w:marLeft w:val="0"/>
              <w:marRight w:val="0"/>
              <w:marTop w:val="0"/>
              <w:marBottom w:val="0"/>
              <w:divBdr>
                <w:top w:val="none" w:sz="0" w:space="0" w:color="auto"/>
                <w:left w:val="none" w:sz="0" w:space="0" w:color="auto"/>
                <w:bottom w:val="none" w:sz="0" w:space="0" w:color="auto"/>
                <w:right w:val="none" w:sz="0" w:space="0" w:color="auto"/>
              </w:divBdr>
            </w:div>
          </w:divsChild>
        </w:div>
        <w:div w:id="675694222">
          <w:marLeft w:val="0"/>
          <w:marRight w:val="0"/>
          <w:marTop w:val="0"/>
          <w:marBottom w:val="0"/>
          <w:divBdr>
            <w:top w:val="none" w:sz="0" w:space="0" w:color="auto"/>
            <w:left w:val="none" w:sz="0" w:space="0" w:color="auto"/>
            <w:bottom w:val="none" w:sz="0" w:space="0" w:color="auto"/>
            <w:right w:val="none" w:sz="0" w:space="0" w:color="auto"/>
          </w:divBdr>
          <w:divsChild>
            <w:div w:id="347949592">
              <w:marLeft w:val="0"/>
              <w:marRight w:val="0"/>
              <w:marTop w:val="0"/>
              <w:marBottom w:val="0"/>
              <w:divBdr>
                <w:top w:val="none" w:sz="0" w:space="0" w:color="auto"/>
                <w:left w:val="none" w:sz="0" w:space="0" w:color="auto"/>
                <w:bottom w:val="none" w:sz="0" w:space="0" w:color="auto"/>
                <w:right w:val="none" w:sz="0" w:space="0" w:color="auto"/>
              </w:divBdr>
            </w:div>
          </w:divsChild>
        </w:div>
        <w:div w:id="716006327">
          <w:marLeft w:val="0"/>
          <w:marRight w:val="0"/>
          <w:marTop w:val="0"/>
          <w:marBottom w:val="0"/>
          <w:divBdr>
            <w:top w:val="none" w:sz="0" w:space="0" w:color="auto"/>
            <w:left w:val="none" w:sz="0" w:space="0" w:color="auto"/>
            <w:bottom w:val="none" w:sz="0" w:space="0" w:color="auto"/>
            <w:right w:val="none" w:sz="0" w:space="0" w:color="auto"/>
          </w:divBdr>
          <w:divsChild>
            <w:div w:id="1401906908">
              <w:marLeft w:val="0"/>
              <w:marRight w:val="0"/>
              <w:marTop w:val="0"/>
              <w:marBottom w:val="0"/>
              <w:divBdr>
                <w:top w:val="none" w:sz="0" w:space="0" w:color="auto"/>
                <w:left w:val="none" w:sz="0" w:space="0" w:color="auto"/>
                <w:bottom w:val="none" w:sz="0" w:space="0" w:color="auto"/>
                <w:right w:val="none" w:sz="0" w:space="0" w:color="auto"/>
              </w:divBdr>
            </w:div>
          </w:divsChild>
        </w:div>
        <w:div w:id="920917479">
          <w:marLeft w:val="0"/>
          <w:marRight w:val="0"/>
          <w:marTop w:val="0"/>
          <w:marBottom w:val="0"/>
          <w:divBdr>
            <w:top w:val="none" w:sz="0" w:space="0" w:color="auto"/>
            <w:left w:val="none" w:sz="0" w:space="0" w:color="auto"/>
            <w:bottom w:val="none" w:sz="0" w:space="0" w:color="auto"/>
            <w:right w:val="none" w:sz="0" w:space="0" w:color="auto"/>
          </w:divBdr>
          <w:divsChild>
            <w:div w:id="1911503624">
              <w:marLeft w:val="0"/>
              <w:marRight w:val="0"/>
              <w:marTop w:val="0"/>
              <w:marBottom w:val="0"/>
              <w:divBdr>
                <w:top w:val="none" w:sz="0" w:space="0" w:color="auto"/>
                <w:left w:val="none" w:sz="0" w:space="0" w:color="auto"/>
                <w:bottom w:val="none" w:sz="0" w:space="0" w:color="auto"/>
                <w:right w:val="none" w:sz="0" w:space="0" w:color="auto"/>
              </w:divBdr>
            </w:div>
          </w:divsChild>
        </w:div>
        <w:div w:id="972098380">
          <w:marLeft w:val="0"/>
          <w:marRight w:val="0"/>
          <w:marTop w:val="0"/>
          <w:marBottom w:val="0"/>
          <w:divBdr>
            <w:top w:val="none" w:sz="0" w:space="0" w:color="auto"/>
            <w:left w:val="none" w:sz="0" w:space="0" w:color="auto"/>
            <w:bottom w:val="none" w:sz="0" w:space="0" w:color="auto"/>
            <w:right w:val="none" w:sz="0" w:space="0" w:color="auto"/>
          </w:divBdr>
          <w:divsChild>
            <w:div w:id="591475186">
              <w:marLeft w:val="0"/>
              <w:marRight w:val="0"/>
              <w:marTop w:val="0"/>
              <w:marBottom w:val="0"/>
              <w:divBdr>
                <w:top w:val="none" w:sz="0" w:space="0" w:color="auto"/>
                <w:left w:val="none" w:sz="0" w:space="0" w:color="auto"/>
                <w:bottom w:val="none" w:sz="0" w:space="0" w:color="auto"/>
                <w:right w:val="none" w:sz="0" w:space="0" w:color="auto"/>
              </w:divBdr>
            </w:div>
          </w:divsChild>
        </w:div>
        <w:div w:id="973214906">
          <w:marLeft w:val="0"/>
          <w:marRight w:val="0"/>
          <w:marTop w:val="0"/>
          <w:marBottom w:val="0"/>
          <w:divBdr>
            <w:top w:val="none" w:sz="0" w:space="0" w:color="auto"/>
            <w:left w:val="none" w:sz="0" w:space="0" w:color="auto"/>
            <w:bottom w:val="none" w:sz="0" w:space="0" w:color="auto"/>
            <w:right w:val="none" w:sz="0" w:space="0" w:color="auto"/>
          </w:divBdr>
          <w:divsChild>
            <w:div w:id="1535924835">
              <w:marLeft w:val="0"/>
              <w:marRight w:val="0"/>
              <w:marTop w:val="0"/>
              <w:marBottom w:val="0"/>
              <w:divBdr>
                <w:top w:val="none" w:sz="0" w:space="0" w:color="auto"/>
                <w:left w:val="none" w:sz="0" w:space="0" w:color="auto"/>
                <w:bottom w:val="none" w:sz="0" w:space="0" w:color="auto"/>
                <w:right w:val="none" w:sz="0" w:space="0" w:color="auto"/>
              </w:divBdr>
            </w:div>
          </w:divsChild>
        </w:div>
        <w:div w:id="989216504">
          <w:marLeft w:val="0"/>
          <w:marRight w:val="0"/>
          <w:marTop w:val="0"/>
          <w:marBottom w:val="0"/>
          <w:divBdr>
            <w:top w:val="none" w:sz="0" w:space="0" w:color="auto"/>
            <w:left w:val="none" w:sz="0" w:space="0" w:color="auto"/>
            <w:bottom w:val="none" w:sz="0" w:space="0" w:color="auto"/>
            <w:right w:val="none" w:sz="0" w:space="0" w:color="auto"/>
          </w:divBdr>
          <w:divsChild>
            <w:div w:id="460807553">
              <w:marLeft w:val="0"/>
              <w:marRight w:val="0"/>
              <w:marTop w:val="0"/>
              <w:marBottom w:val="0"/>
              <w:divBdr>
                <w:top w:val="none" w:sz="0" w:space="0" w:color="auto"/>
                <w:left w:val="none" w:sz="0" w:space="0" w:color="auto"/>
                <w:bottom w:val="none" w:sz="0" w:space="0" w:color="auto"/>
                <w:right w:val="none" w:sz="0" w:space="0" w:color="auto"/>
              </w:divBdr>
            </w:div>
          </w:divsChild>
        </w:div>
        <w:div w:id="997265993">
          <w:marLeft w:val="0"/>
          <w:marRight w:val="0"/>
          <w:marTop w:val="0"/>
          <w:marBottom w:val="0"/>
          <w:divBdr>
            <w:top w:val="none" w:sz="0" w:space="0" w:color="auto"/>
            <w:left w:val="none" w:sz="0" w:space="0" w:color="auto"/>
            <w:bottom w:val="none" w:sz="0" w:space="0" w:color="auto"/>
            <w:right w:val="none" w:sz="0" w:space="0" w:color="auto"/>
          </w:divBdr>
          <w:divsChild>
            <w:div w:id="2067072592">
              <w:marLeft w:val="0"/>
              <w:marRight w:val="0"/>
              <w:marTop w:val="0"/>
              <w:marBottom w:val="0"/>
              <w:divBdr>
                <w:top w:val="none" w:sz="0" w:space="0" w:color="auto"/>
                <w:left w:val="none" w:sz="0" w:space="0" w:color="auto"/>
                <w:bottom w:val="none" w:sz="0" w:space="0" w:color="auto"/>
                <w:right w:val="none" w:sz="0" w:space="0" w:color="auto"/>
              </w:divBdr>
            </w:div>
          </w:divsChild>
        </w:div>
        <w:div w:id="1017780270">
          <w:marLeft w:val="0"/>
          <w:marRight w:val="0"/>
          <w:marTop w:val="0"/>
          <w:marBottom w:val="0"/>
          <w:divBdr>
            <w:top w:val="none" w:sz="0" w:space="0" w:color="auto"/>
            <w:left w:val="none" w:sz="0" w:space="0" w:color="auto"/>
            <w:bottom w:val="none" w:sz="0" w:space="0" w:color="auto"/>
            <w:right w:val="none" w:sz="0" w:space="0" w:color="auto"/>
          </w:divBdr>
          <w:divsChild>
            <w:div w:id="944850297">
              <w:marLeft w:val="0"/>
              <w:marRight w:val="0"/>
              <w:marTop w:val="0"/>
              <w:marBottom w:val="0"/>
              <w:divBdr>
                <w:top w:val="none" w:sz="0" w:space="0" w:color="auto"/>
                <w:left w:val="none" w:sz="0" w:space="0" w:color="auto"/>
                <w:bottom w:val="none" w:sz="0" w:space="0" w:color="auto"/>
                <w:right w:val="none" w:sz="0" w:space="0" w:color="auto"/>
              </w:divBdr>
            </w:div>
          </w:divsChild>
        </w:div>
        <w:div w:id="1034578725">
          <w:marLeft w:val="0"/>
          <w:marRight w:val="0"/>
          <w:marTop w:val="0"/>
          <w:marBottom w:val="0"/>
          <w:divBdr>
            <w:top w:val="none" w:sz="0" w:space="0" w:color="auto"/>
            <w:left w:val="none" w:sz="0" w:space="0" w:color="auto"/>
            <w:bottom w:val="none" w:sz="0" w:space="0" w:color="auto"/>
            <w:right w:val="none" w:sz="0" w:space="0" w:color="auto"/>
          </w:divBdr>
          <w:divsChild>
            <w:div w:id="1517571986">
              <w:marLeft w:val="0"/>
              <w:marRight w:val="0"/>
              <w:marTop w:val="0"/>
              <w:marBottom w:val="0"/>
              <w:divBdr>
                <w:top w:val="none" w:sz="0" w:space="0" w:color="auto"/>
                <w:left w:val="none" w:sz="0" w:space="0" w:color="auto"/>
                <w:bottom w:val="none" w:sz="0" w:space="0" w:color="auto"/>
                <w:right w:val="none" w:sz="0" w:space="0" w:color="auto"/>
              </w:divBdr>
            </w:div>
          </w:divsChild>
        </w:div>
        <w:div w:id="1051543083">
          <w:marLeft w:val="0"/>
          <w:marRight w:val="0"/>
          <w:marTop w:val="0"/>
          <w:marBottom w:val="0"/>
          <w:divBdr>
            <w:top w:val="none" w:sz="0" w:space="0" w:color="auto"/>
            <w:left w:val="none" w:sz="0" w:space="0" w:color="auto"/>
            <w:bottom w:val="none" w:sz="0" w:space="0" w:color="auto"/>
            <w:right w:val="none" w:sz="0" w:space="0" w:color="auto"/>
          </w:divBdr>
          <w:divsChild>
            <w:div w:id="1710032494">
              <w:marLeft w:val="0"/>
              <w:marRight w:val="0"/>
              <w:marTop w:val="0"/>
              <w:marBottom w:val="0"/>
              <w:divBdr>
                <w:top w:val="none" w:sz="0" w:space="0" w:color="auto"/>
                <w:left w:val="none" w:sz="0" w:space="0" w:color="auto"/>
                <w:bottom w:val="none" w:sz="0" w:space="0" w:color="auto"/>
                <w:right w:val="none" w:sz="0" w:space="0" w:color="auto"/>
              </w:divBdr>
            </w:div>
          </w:divsChild>
        </w:div>
        <w:div w:id="1133643195">
          <w:marLeft w:val="0"/>
          <w:marRight w:val="0"/>
          <w:marTop w:val="0"/>
          <w:marBottom w:val="0"/>
          <w:divBdr>
            <w:top w:val="none" w:sz="0" w:space="0" w:color="auto"/>
            <w:left w:val="none" w:sz="0" w:space="0" w:color="auto"/>
            <w:bottom w:val="none" w:sz="0" w:space="0" w:color="auto"/>
            <w:right w:val="none" w:sz="0" w:space="0" w:color="auto"/>
          </w:divBdr>
          <w:divsChild>
            <w:div w:id="1599950718">
              <w:marLeft w:val="0"/>
              <w:marRight w:val="0"/>
              <w:marTop w:val="0"/>
              <w:marBottom w:val="0"/>
              <w:divBdr>
                <w:top w:val="none" w:sz="0" w:space="0" w:color="auto"/>
                <w:left w:val="none" w:sz="0" w:space="0" w:color="auto"/>
                <w:bottom w:val="none" w:sz="0" w:space="0" w:color="auto"/>
                <w:right w:val="none" w:sz="0" w:space="0" w:color="auto"/>
              </w:divBdr>
            </w:div>
          </w:divsChild>
        </w:div>
        <w:div w:id="1137452702">
          <w:marLeft w:val="0"/>
          <w:marRight w:val="0"/>
          <w:marTop w:val="0"/>
          <w:marBottom w:val="0"/>
          <w:divBdr>
            <w:top w:val="none" w:sz="0" w:space="0" w:color="auto"/>
            <w:left w:val="none" w:sz="0" w:space="0" w:color="auto"/>
            <w:bottom w:val="none" w:sz="0" w:space="0" w:color="auto"/>
            <w:right w:val="none" w:sz="0" w:space="0" w:color="auto"/>
          </w:divBdr>
          <w:divsChild>
            <w:div w:id="1549492409">
              <w:marLeft w:val="0"/>
              <w:marRight w:val="0"/>
              <w:marTop w:val="0"/>
              <w:marBottom w:val="0"/>
              <w:divBdr>
                <w:top w:val="none" w:sz="0" w:space="0" w:color="auto"/>
                <w:left w:val="none" w:sz="0" w:space="0" w:color="auto"/>
                <w:bottom w:val="none" w:sz="0" w:space="0" w:color="auto"/>
                <w:right w:val="none" w:sz="0" w:space="0" w:color="auto"/>
              </w:divBdr>
            </w:div>
          </w:divsChild>
        </w:div>
        <w:div w:id="1199584870">
          <w:marLeft w:val="0"/>
          <w:marRight w:val="0"/>
          <w:marTop w:val="0"/>
          <w:marBottom w:val="0"/>
          <w:divBdr>
            <w:top w:val="none" w:sz="0" w:space="0" w:color="auto"/>
            <w:left w:val="none" w:sz="0" w:space="0" w:color="auto"/>
            <w:bottom w:val="none" w:sz="0" w:space="0" w:color="auto"/>
            <w:right w:val="none" w:sz="0" w:space="0" w:color="auto"/>
          </w:divBdr>
          <w:divsChild>
            <w:div w:id="500396078">
              <w:marLeft w:val="0"/>
              <w:marRight w:val="0"/>
              <w:marTop w:val="0"/>
              <w:marBottom w:val="0"/>
              <w:divBdr>
                <w:top w:val="none" w:sz="0" w:space="0" w:color="auto"/>
                <w:left w:val="none" w:sz="0" w:space="0" w:color="auto"/>
                <w:bottom w:val="none" w:sz="0" w:space="0" w:color="auto"/>
                <w:right w:val="none" w:sz="0" w:space="0" w:color="auto"/>
              </w:divBdr>
            </w:div>
          </w:divsChild>
        </w:div>
        <w:div w:id="1206020382">
          <w:marLeft w:val="0"/>
          <w:marRight w:val="0"/>
          <w:marTop w:val="0"/>
          <w:marBottom w:val="0"/>
          <w:divBdr>
            <w:top w:val="none" w:sz="0" w:space="0" w:color="auto"/>
            <w:left w:val="none" w:sz="0" w:space="0" w:color="auto"/>
            <w:bottom w:val="none" w:sz="0" w:space="0" w:color="auto"/>
            <w:right w:val="none" w:sz="0" w:space="0" w:color="auto"/>
          </w:divBdr>
          <w:divsChild>
            <w:div w:id="1392926261">
              <w:marLeft w:val="0"/>
              <w:marRight w:val="0"/>
              <w:marTop w:val="0"/>
              <w:marBottom w:val="0"/>
              <w:divBdr>
                <w:top w:val="none" w:sz="0" w:space="0" w:color="auto"/>
                <w:left w:val="none" w:sz="0" w:space="0" w:color="auto"/>
                <w:bottom w:val="none" w:sz="0" w:space="0" w:color="auto"/>
                <w:right w:val="none" w:sz="0" w:space="0" w:color="auto"/>
              </w:divBdr>
            </w:div>
          </w:divsChild>
        </w:div>
        <w:div w:id="1266645610">
          <w:marLeft w:val="0"/>
          <w:marRight w:val="0"/>
          <w:marTop w:val="0"/>
          <w:marBottom w:val="0"/>
          <w:divBdr>
            <w:top w:val="none" w:sz="0" w:space="0" w:color="auto"/>
            <w:left w:val="none" w:sz="0" w:space="0" w:color="auto"/>
            <w:bottom w:val="none" w:sz="0" w:space="0" w:color="auto"/>
            <w:right w:val="none" w:sz="0" w:space="0" w:color="auto"/>
          </w:divBdr>
          <w:divsChild>
            <w:div w:id="442044636">
              <w:marLeft w:val="0"/>
              <w:marRight w:val="0"/>
              <w:marTop w:val="0"/>
              <w:marBottom w:val="0"/>
              <w:divBdr>
                <w:top w:val="none" w:sz="0" w:space="0" w:color="auto"/>
                <w:left w:val="none" w:sz="0" w:space="0" w:color="auto"/>
                <w:bottom w:val="none" w:sz="0" w:space="0" w:color="auto"/>
                <w:right w:val="none" w:sz="0" w:space="0" w:color="auto"/>
              </w:divBdr>
            </w:div>
          </w:divsChild>
        </w:div>
        <w:div w:id="1271205694">
          <w:marLeft w:val="0"/>
          <w:marRight w:val="0"/>
          <w:marTop w:val="0"/>
          <w:marBottom w:val="0"/>
          <w:divBdr>
            <w:top w:val="none" w:sz="0" w:space="0" w:color="auto"/>
            <w:left w:val="none" w:sz="0" w:space="0" w:color="auto"/>
            <w:bottom w:val="none" w:sz="0" w:space="0" w:color="auto"/>
            <w:right w:val="none" w:sz="0" w:space="0" w:color="auto"/>
          </w:divBdr>
          <w:divsChild>
            <w:div w:id="559292016">
              <w:marLeft w:val="0"/>
              <w:marRight w:val="0"/>
              <w:marTop w:val="0"/>
              <w:marBottom w:val="0"/>
              <w:divBdr>
                <w:top w:val="none" w:sz="0" w:space="0" w:color="auto"/>
                <w:left w:val="none" w:sz="0" w:space="0" w:color="auto"/>
                <w:bottom w:val="none" w:sz="0" w:space="0" w:color="auto"/>
                <w:right w:val="none" w:sz="0" w:space="0" w:color="auto"/>
              </w:divBdr>
            </w:div>
          </w:divsChild>
        </w:div>
        <w:div w:id="1287198656">
          <w:marLeft w:val="0"/>
          <w:marRight w:val="0"/>
          <w:marTop w:val="0"/>
          <w:marBottom w:val="0"/>
          <w:divBdr>
            <w:top w:val="none" w:sz="0" w:space="0" w:color="auto"/>
            <w:left w:val="none" w:sz="0" w:space="0" w:color="auto"/>
            <w:bottom w:val="none" w:sz="0" w:space="0" w:color="auto"/>
            <w:right w:val="none" w:sz="0" w:space="0" w:color="auto"/>
          </w:divBdr>
          <w:divsChild>
            <w:div w:id="1149396467">
              <w:marLeft w:val="0"/>
              <w:marRight w:val="0"/>
              <w:marTop w:val="0"/>
              <w:marBottom w:val="0"/>
              <w:divBdr>
                <w:top w:val="none" w:sz="0" w:space="0" w:color="auto"/>
                <w:left w:val="none" w:sz="0" w:space="0" w:color="auto"/>
                <w:bottom w:val="none" w:sz="0" w:space="0" w:color="auto"/>
                <w:right w:val="none" w:sz="0" w:space="0" w:color="auto"/>
              </w:divBdr>
            </w:div>
          </w:divsChild>
        </w:div>
        <w:div w:id="1537158098">
          <w:marLeft w:val="0"/>
          <w:marRight w:val="0"/>
          <w:marTop w:val="0"/>
          <w:marBottom w:val="0"/>
          <w:divBdr>
            <w:top w:val="none" w:sz="0" w:space="0" w:color="auto"/>
            <w:left w:val="none" w:sz="0" w:space="0" w:color="auto"/>
            <w:bottom w:val="none" w:sz="0" w:space="0" w:color="auto"/>
            <w:right w:val="none" w:sz="0" w:space="0" w:color="auto"/>
          </w:divBdr>
          <w:divsChild>
            <w:div w:id="1705208021">
              <w:marLeft w:val="0"/>
              <w:marRight w:val="0"/>
              <w:marTop w:val="0"/>
              <w:marBottom w:val="0"/>
              <w:divBdr>
                <w:top w:val="none" w:sz="0" w:space="0" w:color="auto"/>
                <w:left w:val="none" w:sz="0" w:space="0" w:color="auto"/>
                <w:bottom w:val="none" w:sz="0" w:space="0" w:color="auto"/>
                <w:right w:val="none" w:sz="0" w:space="0" w:color="auto"/>
              </w:divBdr>
            </w:div>
          </w:divsChild>
        </w:div>
        <w:div w:id="1554273245">
          <w:marLeft w:val="0"/>
          <w:marRight w:val="0"/>
          <w:marTop w:val="0"/>
          <w:marBottom w:val="0"/>
          <w:divBdr>
            <w:top w:val="none" w:sz="0" w:space="0" w:color="auto"/>
            <w:left w:val="none" w:sz="0" w:space="0" w:color="auto"/>
            <w:bottom w:val="none" w:sz="0" w:space="0" w:color="auto"/>
            <w:right w:val="none" w:sz="0" w:space="0" w:color="auto"/>
          </w:divBdr>
          <w:divsChild>
            <w:div w:id="1579093996">
              <w:marLeft w:val="0"/>
              <w:marRight w:val="0"/>
              <w:marTop w:val="0"/>
              <w:marBottom w:val="0"/>
              <w:divBdr>
                <w:top w:val="none" w:sz="0" w:space="0" w:color="auto"/>
                <w:left w:val="none" w:sz="0" w:space="0" w:color="auto"/>
                <w:bottom w:val="none" w:sz="0" w:space="0" w:color="auto"/>
                <w:right w:val="none" w:sz="0" w:space="0" w:color="auto"/>
              </w:divBdr>
            </w:div>
          </w:divsChild>
        </w:div>
        <w:div w:id="1575817760">
          <w:marLeft w:val="0"/>
          <w:marRight w:val="0"/>
          <w:marTop w:val="0"/>
          <w:marBottom w:val="0"/>
          <w:divBdr>
            <w:top w:val="none" w:sz="0" w:space="0" w:color="auto"/>
            <w:left w:val="none" w:sz="0" w:space="0" w:color="auto"/>
            <w:bottom w:val="none" w:sz="0" w:space="0" w:color="auto"/>
            <w:right w:val="none" w:sz="0" w:space="0" w:color="auto"/>
          </w:divBdr>
          <w:divsChild>
            <w:div w:id="2130204510">
              <w:marLeft w:val="0"/>
              <w:marRight w:val="0"/>
              <w:marTop w:val="0"/>
              <w:marBottom w:val="0"/>
              <w:divBdr>
                <w:top w:val="none" w:sz="0" w:space="0" w:color="auto"/>
                <w:left w:val="none" w:sz="0" w:space="0" w:color="auto"/>
                <w:bottom w:val="none" w:sz="0" w:space="0" w:color="auto"/>
                <w:right w:val="none" w:sz="0" w:space="0" w:color="auto"/>
              </w:divBdr>
            </w:div>
          </w:divsChild>
        </w:div>
        <w:div w:id="1658265578">
          <w:marLeft w:val="0"/>
          <w:marRight w:val="0"/>
          <w:marTop w:val="0"/>
          <w:marBottom w:val="0"/>
          <w:divBdr>
            <w:top w:val="none" w:sz="0" w:space="0" w:color="auto"/>
            <w:left w:val="none" w:sz="0" w:space="0" w:color="auto"/>
            <w:bottom w:val="none" w:sz="0" w:space="0" w:color="auto"/>
            <w:right w:val="none" w:sz="0" w:space="0" w:color="auto"/>
          </w:divBdr>
          <w:divsChild>
            <w:div w:id="317002889">
              <w:marLeft w:val="0"/>
              <w:marRight w:val="0"/>
              <w:marTop w:val="0"/>
              <w:marBottom w:val="0"/>
              <w:divBdr>
                <w:top w:val="none" w:sz="0" w:space="0" w:color="auto"/>
                <w:left w:val="none" w:sz="0" w:space="0" w:color="auto"/>
                <w:bottom w:val="none" w:sz="0" w:space="0" w:color="auto"/>
                <w:right w:val="none" w:sz="0" w:space="0" w:color="auto"/>
              </w:divBdr>
            </w:div>
            <w:div w:id="1184976001">
              <w:marLeft w:val="0"/>
              <w:marRight w:val="0"/>
              <w:marTop w:val="0"/>
              <w:marBottom w:val="0"/>
              <w:divBdr>
                <w:top w:val="none" w:sz="0" w:space="0" w:color="auto"/>
                <w:left w:val="none" w:sz="0" w:space="0" w:color="auto"/>
                <w:bottom w:val="none" w:sz="0" w:space="0" w:color="auto"/>
                <w:right w:val="none" w:sz="0" w:space="0" w:color="auto"/>
              </w:divBdr>
            </w:div>
          </w:divsChild>
        </w:div>
        <w:div w:id="1726561207">
          <w:marLeft w:val="0"/>
          <w:marRight w:val="0"/>
          <w:marTop w:val="0"/>
          <w:marBottom w:val="0"/>
          <w:divBdr>
            <w:top w:val="none" w:sz="0" w:space="0" w:color="auto"/>
            <w:left w:val="none" w:sz="0" w:space="0" w:color="auto"/>
            <w:bottom w:val="none" w:sz="0" w:space="0" w:color="auto"/>
            <w:right w:val="none" w:sz="0" w:space="0" w:color="auto"/>
          </w:divBdr>
          <w:divsChild>
            <w:div w:id="1571960702">
              <w:marLeft w:val="0"/>
              <w:marRight w:val="0"/>
              <w:marTop w:val="0"/>
              <w:marBottom w:val="0"/>
              <w:divBdr>
                <w:top w:val="none" w:sz="0" w:space="0" w:color="auto"/>
                <w:left w:val="none" w:sz="0" w:space="0" w:color="auto"/>
                <w:bottom w:val="none" w:sz="0" w:space="0" w:color="auto"/>
                <w:right w:val="none" w:sz="0" w:space="0" w:color="auto"/>
              </w:divBdr>
            </w:div>
          </w:divsChild>
        </w:div>
        <w:div w:id="1750150556">
          <w:marLeft w:val="0"/>
          <w:marRight w:val="0"/>
          <w:marTop w:val="0"/>
          <w:marBottom w:val="0"/>
          <w:divBdr>
            <w:top w:val="none" w:sz="0" w:space="0" w:color="auto"/>
            <w:left w:val="none" w:sz="0" w:space="0" w:color="auto"/>
            <w:bottom w:val="none" w:sz="0" w:space="0" w:color="auto"/>
            <w:right w:val="none" w:sz="0" w:space="0" w:color="auto"/>
          </w:divBdr>
          <w:divsChild>
            <w:div w:id="2053846005">
              <w:marLeft w:val="0"/>
              <w:marRight w:val="0"/>
              <w:marTop w:val="0"/>
              <w:marBottom w:val="0"/>
              <w:divBdr>
                <w:top w:val="none" w:sz="0" w:space="0" w:color="auto"/>
                <w:left w:val="none" w:sz="0" w:space="0" w:color="auto"/>
                <w:bottom w:val="none" w:sz="0" w:space="0" w:color="auto"/>
                <w:right w:val="none" w:sz="0" w:space="0" w:color="auto"/>
              </w:divBdr>
            </w:div>
          </w:divsChild>
        </w:div>
        <w:div w:id="1793859588">
          <w:marLeft w:val="0"/>
          <w:marRight w:val="0"/>
          <w:marTop w:val="0"/>
          <w:marBottom w:val="0"/>
          <w:divBdr>
            <w:top w:val="none" w:sz="0" w:space="0" w:color="auto"/>
            <w:left w:val="none" w:sz="0" w:space="0" w:color="auto"/>
            <w:bottom w:val="none" w:sz="0" w:space="0" w:color="auto"/>
            <w:right w:val="none" w:sz="0" w:space="0" w:color="auto"/>
          </w:divBdr>
          <w:divsChild>
            <w:div w:id="491675594">
              <w:marLeft w:val="0"/>
              <w:marRight w:val="0"/>
              <w:marTop w:val="0"/>
              <w:marBottom w:val="0"/>
              <w:divBdr>
                <w:top w:val="none" w:sz="0" w:space="0" w:color="auto"/>
                <w:left w:val="none" w:sz="0" w:space="0" w:color="auto"/>
                <w:bottom w:val="none" w:sz="0" w:space="0" w:color="auto"/>
                <w:right w:val="none" w:sz="0" w:space="0" w:color="auto"/>
              </w:divBdr>
            </w:div>
          </w:divsChild>
        </w:div>
        <w:div w:id="1813331060">
          <w:marLeft w:val="0"/>
          <w:marRight w:val="0"/>
          <w:marTop w:val="0"/>
          <w:marBottom w:val="0"/>
          <w:divBdr>
            <w:top w:val="none" w:sz="0" w:space="0" w:color="auto"/>
            <w:left w:val="none" w:sz="0" w:space="0" w:color="auto"/>
            <w:bottom w:val="none" w:sz="0" w:space="0" w:color="auto"/>
            <w:right w:val="none" w:sz="0" w:space="0" w:color="auto"/>
          </w:divBdr>
          <w:divsChild>
            <w:div w:id="84738708">
              <w:marLeft w:val="0"/>
              <w:marRight w:val="0"/>
              <w:marTop w:val="0"/>
              <w:marBottom w:val="0"/>
              <w:divBdr>
                <w:top w:val="none" w:sz="0" w:space="0" w:color="auto"/>
                <w:left w:val="none" w:sz="0" w:space="0" w:color="auto"/>
                <w:bottom w:val="none" w:sz="0" w:space="0" w:color="auto"/>
                <w:right w:val="none" w:sz="0" w:space="0" w:color="auto"/>
              </w:divBdr>
            </w:div>
          </w:divsChild>
        </w:div>
        <w:div w:id="1817644226">
          <w:marLeft w:val="0"/>
          <w:marRight w:val="0"/>
          <w:marTop w:val="0"/>
          <w:marBottom w:val="0"/>
          <w:divBdr>
            <w:top w:val="none" w:sz="0" w:space="0" w:color="auto"/>
            <w:left w:val="none" w:sz="0" w:space="0" w:color="auto"/>
            <w:bottom w:val="none" w:sz="0" w:space="0" w:color="auto"/>
            <w:right w:val="none" w:sz="0" w:space="0" w:color="auto"/>
          </w:divBdr>
          <w:divsChild>
            <w:div w:id="341056123">
              <w:marLeft w:val="0"/>
              <w:marRight w:val="0"/>
              <w:marTop w:val="0"/>
              <w:marBottom w:val="0"/>
              <w:divBdr>
                <w:top w:val="none" w:sz="0" w:space="0" w:color="auto"/>
                <w:left w:val="none" w:sz="0" w:space="0" w:color="auto"/>
                <w:bottom w:val="none" w:sz="0" w:space="0" w:color="auto"/>
                <w:right w:val="none" w:sz="0" w:space="0" w:color="auto"/>
              </w:divBdr>
            </w:div>
          </w:divsChild>
        </w:div>
        <w:div w:id="1842114628">
          <w:marLeft w:val="0"/>
          <w:marRight w:val="0"/>
          <w:marTop w:val="0"/>
          <w:marBottom w:val="0"/>
          <w:divBdr>
            <w:top w:val="none" w:sz="0" w:space="0" w:color="auto"/>
            <w:left w:val="none" w:sz="0" w:space="0" w:color="auto"/>
            <w:bottom w:val="none" w:sz="0" w:space="0" w:color="auto"/>
            <w:right w:val="none" w:sz="0" w:space="0" w:color="auto"/>
          </w:divBdr>
          <w:divsChild>
            <w:div w:id="1331757189">
              <w:marLeft w:val="0"/>
              <w:marRight w:val="0"/>
              <w:marTop w:val="0"/>
              <w:marBottom w:val="0"/>
              <w:divBdr>
                <w:top w:val="none" w:sz="0" w:space="0" w:color="auto"/>
                <w:left w:val="none" w:sz="0" w:space="0" w:color="auto"/>
                <w:bottom w:val="none" w:sz="0" w:space="0" w:color="auto"/>
                <w:right w:val="none" w:sz="0" w:space="0" w:color="auto"/>
              </w:divBdr>
            </w:div>
          </w:divsChild>
        </w:div>
        <w:div w:id="1936093226">
          <w:marLeft w:val="0"/>
          <w:marRight w:val="0"/>
          <w:marTop w:val="0"/>
          <w:marBottom w:val="0"/>
          <w:divBdr>
            <w:top w:val="none" w:sz="0" w:space="0" w:color="auto"/>
            <w:left w:val="none" w:sz="0" w:space="0" w:color="auto"/>
            <w:bottom w:val="none" w:sz="0" w:space="0" w:color="auto"/>
            <w:right w:val="none" w:sz="0" w:space="0" w:color="auto"/>
          </w:divBdr>
          <w:divsChild>
            <w:div w:id="1670012474">
              <w:marLeft w:val="0"/>
              <w:marRight w:val="0"/>
              <w:marTop w:val="0"/>
              <w:marBottom w:val="0"/>
              <w:divBdr>
                <w:top w:val="none" w:sz="0" w:space="0" w:color="auto"/>
                <w:left w:val="none" w:sz="0" w:space="0" w:color="auto"/>
                <w:bottom w:val="none" w:sz="0" w:space="0" w:color="auto"/>
                <w:right w:val="none" w:sz="0" w:space="0" w:color="auto"/>
              </w:divBdr>
            </w:div>
          </w:divsChild>
        </w:div>
        <w:div w:id="2044090658">
          <w:marLeft w:val="0"/>
          <w:marRight w:val="0"/>
          <w:marTop w:val="0"/>
          <w:marBottom w:val="0"/>
          <w:divBdr>
            <w:top w:val="none" w:sz="0" w:space="0" w:color="auto"/>
            <w:left w:val="none" w:sz="0" w:space="0" w:color="auto"/>
            <w:bottom w:val="none" w:sz="0" w:space="0" w:color="auto"/>
            <w:right w:val="none" w:sz="0" w:space="0" w:color="auto"/>
          </w:divBdr>
          <w:divsChild>
            <w:div w:id="2053069573">
              <w:marLeft w:val="0"/>
              <w:marRight w:val="0"/>
              <w:marTop w:val="0"/>
              <w:marBottom w:val="0"/>
              <w:divBdr>
                <w:top w:val="none" w:sz="0" w:space="0" w:color="auto"/>
                <w:left w:val="none" w:sz="0" w:space="0" w:color="auto"/>
                <w:bottom w:val="none" w:sz="0" w:space="0" w:color="auto"/>
                <w:right w:val="none" w:sz="0" w:space="0" w:color="auto"/>
              </w:divBdr>
            </w:div>
          </w:divsChild>
        </w:div>
        <w:div w:id="2079397886">
          <w:marLeft w:val="0"/>
          <w:marRight w:val="0"/>
          <w:marTop w:val="0"/>
          <w:marBottom w:val="0"/>
          <w:divBdr>
            <w:top w:val="none" w:sz="0" w:space="0" w:color="auto"/>
            <w:left w:val="none" w:sz="0" w:space="0" w:color="auto"/>
            <w:bottom w:val="none" w:sz="0" w:space="0" w:color="auto"/>
            <w:right w:val="none" w:sz="0" w:space="0" w:color="auto"/>
          </w:divBdr>
          <w:divsChild>
            <w:div w:id="1377045101">
              <w:marLeft w:val="0"/>
              <w:marRight w:val="0"/>
              <w:marTop w:val="0"/>
              <w:marBottom w:val="0"/>
              <w:divBdr>
                <w:top w:val="none" w:sz="0" w:space="0" w:color="auto"/>
                <w:left w:val="none" w:sz="0" w:space="0" w:color="auto"/>
                <w:bottom w:val="none" w:sz="0" w:space="0" w:color="auto"/>
                <w:right w:val="none" w:sz="0" w:space="0" w:color="auto"/>
              </w:divBdr>
            </w:div>
          </w:divsChild>
        </w:div>
        <w:div w:id="2106878718">
          <w:marLeft w:val="0"/>
          <w:marRight w:val="0"/>
          <w:marTop w:val="0"/>
          <w:marBottom w:val="0"/>
          <w:divBdr>
            <w:top w:val="none" w:sz="0" w:space="0" w:color="auto"/>
            <w:left w:val="none" w:sz="0" w:space="0" w:color="auto"/>
            <w:bottom w:val="none" w:sz="0" w:space="0" w:color="auto"/>
            <w:right w:val="none" w:sz="0" w:space="0" w:color="auto"/>
          </w:divBdr>
          <w:divsChild>
            <w:div w:id="1035039555">
              <w:marLeft w:val="0"/>
              <w:marRight w:val="0"/>
              <w:marTop w:val="0"/>
              <w:marBottom w:val="0"/>
              <w:divBdr>
                <w:top w:val="none" w:sz="0" w:space="0" w:color="auto"/>
                <w:left w:val="none" w:sz="0" w:space="0" w:color="auto"/>
                <w:bottom w:val="none" w:sz="0" w:space="0" w:color="auto"/>
                <w:right w:val="none" w:sz="0" w:space="0" w:color="auto"/>
              </w:divBdr>
            </w:div>
          </w:divsChild>
        </w:div>
        <w:div w:id="2128499059">
          <w:marLeft w:val="0"/>
          <w:marRight w:val="0"/>
          <w:marTop w:val="0"/>
          <w:marBottom w:val="0"/>
          <w:divBdr>
            <w:top w:val="none" w:sz="0" w:space="0" w:color="auto"/>
            <w:left w:val="none" w:sz="0" w:space="0" w:color="auto"/>
            <w:bottom w:val="none" w:sz="0" w:space="0" w:color="auto"/>
            <w:right w:val="none" w:sz="0" w:space="0" w:color="auto"/>
          </w:divBdr>
          <w:divsChild>
            <w:div w:id="194557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6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carf.org/accreditation/programs/employment-community/" TargetMode="External"/><Relationship Id="rId2" Type="http://schemas.openxmlformats.org/officeDocument/2006/relationships/hyperlink" Target="https://carf.org/accreditation/programs/opioid-treatment/" TargetMode="External"/><Relationship Id="rId1" Type="http://schemas.openxmlformats.org/officeDocument/2006/relationships/hyperlink" Target="https://carf.org/accreditation/programs/behavioral-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eynolds\OneDrive%20-%20Bailit%20Health\Desktop\AHCCCS%20crosswalk%20memo%202024%203-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29a8555-db37-4257-91ea-e6d336cdedf2">
      <UserInfo>
        <DisplayName>Aron Boros</DisplayName>
        <AccountId>18</AccountId>
        <AccountType/>
      </UserInfo>
      <UserInfo>
        <DisplayName>Michael Bailit</DisplayName>
        <AccountId>22</AccountId>
        <AccountType/>
      </UserInfo>
      <UserInfo>
        <DisplayName>Megan Burns</DisplayName>
        <AccountId>17</AccountId>
        <AccountType/>
      </UserInfo>
      <UserInfo>
        <DisplayName>Mary Beth Dyer</DisplayName>
        <AccountId>20</AccountId>
        <AccountType/>
      </UserInfo>
      <UserInfo>
        <DisplayName>Beth Waldman</DisplayName>
        <AccountId>37</AccountId>
        <AccountType/>
      </UserInfo>
      <UserInfo>
        <DisplayName>Margaret Trinity</DisplayName>
        <AccountId>38</AccountId>
        <AccountType/>
      </UserInfo>
      <UserInfo>
        <DisplayName>Rachel Isaacson</DisplayName>
        <AccountId>3701</AccountId>
        <AccountType/>
      </UserInfo>
      <UserInfo>
        <DisplayName>Justine Zayhowski</DisplayName>
        <AccountId>2633</AccountId>
        <AccountType/>
      </UserInfo>
      <UserInfo>
        <DisplayName>Erin Taylor</DisplayName>
        <AccountId>19</AccountId>
        <AccountType/>
      </UserInfo>
      <UserInfo>
        <DisplayName>Kate Bazinsky</DisplayName>
        <AccountId>3303</AccountId>
        <AccountType/>
      </UserInfo>
      <UserInfo>
        <DisplayName>Jennifer Sayles</DisplayName>
        <AccountId>4142</AccountId>
        <AccountType/>
      </UserInfo>
      <UserInfo>
        <DisplayName>Ellie Shea-Delaney</DisplayName>
        <AccountId>42</AccountId>
        <AccountType/>
      </UserInfo>
      <UserInfo>
        <DisplayName>Deepti Kanneganti</DisplayName>
        <AccountId>15</AccountId>
        <AccountType/>
      </UserInfo>
      <UserInfo>
        <DisplayName>Sarah Kinsler</DisplayName>
        <AccountId>29594</AccountId>
        <AccountType/>
      </UserInfo>
      <UserInfo>
        <DisplayName>Alena Lieto-Trivedi</DisplayName>
        <AccountId>30337</AccountId>
        <AccountType/>
      </UserInfo>
      <UserInfo>
        <DisplayName>Caitlin Otter</DisplayName>
        <AccountId>29897</AccountId>
        <AccountType/>
      </UserInfo>
      <UserInfo>
        <DisplayName>Matt Reynolds</DisplayName>
        <AccountId>19446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593101868629B43B3725DD80383880E" ma:contentTypeVersion="8" ma:contentTypeDescription="Create a new document." ma:contentTypeScope="" ma:versionID="9ffcbde251891218ff587ff9d900ced8">
  <xsd:schema xmlns:xsd="http://www.w3.org/2001/XMLSchema" xmlns:xs="http://www.w3.org/2001/XMLSchema" xmlns:p="http://schemas.microsoft.com/office/2006/metadata/properties" xmlns:ns2="d29a8555-db37-4257-91ea-e6d336cdedf2" xmlns:ns3="c557071e-6634-4530-9b80-ef713319a2a3" targetNamespace="http://schemas.microsoft.com/office/2006/metadata/properties" ma:root="true" ma:fieldsID="298175258500258a1ad707cf53725752" ns2:_="" ns3:_="">
    <xsd:import namespace="d29a8555-db37-4257-91ea-e6d336cdedf2"/>
    <xsd:import namespace="c557071e-6634-4530-9b80-ef713319a2a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9a8555-db37-4257-91ea-e6d336cdedf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57071e-6634-4530-9b80-ef713319a2a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2A5BE8-9102-4682-87B9-1DEFB749B981}">
  <ds:schemaRefs>
    <ds:schemaRef ds:uri="http://schemas.openxmlformats.org/officeDocument/2006/bibliography"/>
  </ds:schemaRefs>
</ds:datastoreItem>
</file>

<file path=customXml/itemProps2.xml><?xml version="1.0" encoding="utf-8"?>
<ds:datastoreItem xmlns:ds="http://schemas.openxmlformats.org/officeDocument/2006/customXml" ds:itemID="{5F90BFDD-F36A-4ACC-A347-508885C57269}">
  <ds:schemaRefs>
    <ds:schemaRef ds:uri="http://schemas.microsoft.com/sharepoint/v3/contenttype/forms"/>
  </ds:schemaRefs>
</ds:datastoreItem>
</file>

<file path=customXml/itemProps3.xml><?xml version="1.0" encoding="utf-8"?>
<ds:datastoreItem xmlns:ds="http://schemas.openxmlformats.org/officeDocument/2006/customXml" ds:itemID="{C3AD1349-2808-400F-9D23-873CC1B9EE0B}">
  <ds:schemaRefs>
    <ds:schemaRef ds:uri="http://schemas.microsoft.com/office/2006/metadata/properties"/>
    <ds:schemaRef ds:uri="http://schemas.microsoft.com/office/infopath/2007/PartnerControls"/>
    <ds:schemaRef ds:uri="d29a8555-db37-4257-91ea-e6d336cdedf2"/>
  </ds:schemaRefs>
</ds:datastoreItem>
</file>

<file path=customXml/itemProps4.xml><?xml version="1.0" encoding="utf-8"?>
<ds:datastoreItem xmlns:ds="http://schemas.openxmlformats.org/officeDocument/2006/customXml" ds:itemID="{6D0A6274-8F24-424E-BD5E-58C9B0AAD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9a8555-db37-4257-91ea-e6d336cdedf2"/>
    <ds:schemaRef ds:uri="c557071e-6634-4530-9b80-ef713319a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AHCCCS crosswalk memo 2024 3-22.dotx</Template>
  <TotalTime>12</TotalTime>
  <Pages>5</Pages>
  <Words>1310</Words>
  <Characters>7779</Characters>
  <Application>Microsoft Office Word</Application>
  <DocSecurity>0</DocSecurity>
  <Lines>64</Lines>
  <Paragraphs>18</Paragraphs>
  <ScaleCrop>false</ScaleCrop>
  <Company>Interactive Design &amp; Illustration</Company>
  <LinksUpToDate>false</LinksUpToDate>
  <CharactersWithSpaces>9071</CharactersWithSpaces>
  <SharedDoc>false</SharedDoc>
  <HLinks>
    <vt:vector size="18" baseType="variant">
      <vt:variant>
        <vt:i4>5963868</vt:i4>
      </vt:variant>
      <vt:variant>
        <vt:i4>6</vt:i4>
      </vt:variant>
      <vt:variant>
        <vt:i4>0</vt:i4>
      </vt:variant>
      <vt:variant>
        <vt:i4>5</vt:i4>
      </vt:variant>
      <vt:variant>
        <vt:lpwstr>https://carf.org/accreditation/programs/employment-community/</vt:lpwstr>
      </vt:variant>
      <vt:variant>
        <vt:lpwstr/>
      </vt:variant>
      <vt:variant>
        <vt:i4>5636162</vt:i4>
      </vt:variant>
      <vt:variant>
        <vt:i4>3</vt:i4>
      </vt:variant>
      <vt:variant>
        <vt:i4>0</vt:i4>
      </vt:variant>
      <vt:variant>
        <vt:i4>5</vt:i4>
      </vt:variant>
      <vt:variant>
        <vt:lpwstr>https://carf.org/accreditation/programs/opioid-treatment/</vt:lpwstr>
      </vt:variant>
      <vt:variant>
        <vt:lpwstr/>
      </vt:variant>
      <vt:variant>
        <vt:i4>7864366</vt:i4>
      </vt:variant>
      <vt:variant>
        <vt:i4>0</vt:i4>
      </vt:variant>
      <vt:variant>
        <vt:i4>0</vt:i4>
      </vt:variant>
      <vt:variant>
        <vt:i4>5</vt:i4>
      </vt:variant>
      <vt:variant>
        <vt:lpwstr>https://carf.org/accreditation/programs/behavioral-health/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Reynolds</dc:creator>
  <cp:keywords/>
  <cp:lastModifiedBy>Cameron Adams</cp:lastModifiedBy>
  <cp:revision>14</cp:revision>
  <cp:lastPrinted>2015-02-12T15:57:00Z</cp:lastPrinted>
  <dcterms:created xsi:type="dcterms:W3CDTF">2024-03-25T20:05:00Z</dcterms:created>
  <dcterms:modified xsi:type="dcterms:W3CDTF">2024-03-26T15:11:00Z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0x0101002593101868629B43B3725DD80383880E</vt:lpwstr>
  </property>
  <property fmtid="{D5CDD505-2E9C-101B-9397-08002B2CF9AE}" pid="3" name="Order">
    <vt:r8>11200</vt:r8>
  </property>
  <property fmtid="{D5CDD505-2E9C-101B-9397-08002B2CF9AE}" pid="4" name="xd_Signature">
    <vt:bool>false</vt:bool>
  </property>
  <property fmtid="{D5CDD505-2E9C-101B-9397-08002B2CF9AE}" pid="5" name="SharedWithUsers">
    <vt:lpwstr>18;#Aron Boros;#22;#Michael Bailit;#17;#Megan Burns;#20;#Mary Beth Dyer;#37;#Beth Waldman;#38;#Margaret Trinity;#3701;#Rachel Isaacson;#2633;#Justine Zayhowski;#19;#Erin Taylor;#3303;#Kate Bazinsky;#4142;#Jennifer Sayles;#42;#Ellie Shea-Delaney;#15;#Deepti Kanneganti;#29594;#Sarah Kinsler</vt:lpwstr>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