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text" w:tblpX="265" w:tblpY="1"/>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104"/>
        <w:gridCol w:w="1183"/>
        <w:gridCol w:w="603"/>
        <w:gridCol w:w="506"/>
        <w:gridCol w:w="3326"/>
      </w:tblGrid>
      <w:tr w:rsidR="00D22C00" w:rsidRPr="00B5691E" w14:paraId="4E2DE24D" w14:textId="77777777" w:rsidTr="00D22C00">
        <w:trPr>
          <w:cantSplit/>
          <w:trHeight w:val="627"/>
          <w:tblHeader/>
        </w:trPr>
        <w:tc>
          <w:tcPr>
            <w:tcW w:w="2792" w:type="pct"/>
            <w:shd w:val="clear" w:color="auto" w:fill="BFBFBF" w:themeFill="background1" w:themeFillShade="BF"/>
            <w:vAlign w:val="center"/>
          </w:tcPr>
          <w:p w14:paraId="7659130B" w14:textId="1E3FC295" w:rsidR="00056E56" w:rsidRPr="00B5691E" w:rsidRDefault="00861909" w:rsidP="008D765E">
            <w:pPr>
              <w:spacing w:line="276" w:lineRule="auto"/>
              <w:jc w:val="center"/>
              <w:rPr>
                <w:rFonts w:ascii="Arial" w:hAnsi="Arial" w:cs="Arial"/>
                <w:b/>
                <w:sz w:val="22"/>
                <w:szCs w:val="22"/>
              </w:rPr>
            </w:pPr>
            <w:r>
              <w:rPr>
                <w:rFonts w:ascii="Arial" w:hAnsi="Arial" w:cs="Arial"/>
                <w:b/>
                <w:sz w:val="22"/>
                <w:szCs w:val="22"/>
              </w:rPr>
              <w:t xml:space="preserve">Maternity and Family Planning Services and Supplies </w:t>
            </w:r>
            <w:r w:rsidRPr="00B5691E">
              <w:rPr>
                <w:rFonts w:ascii="Arial" w:hAnsi="Arial" w:cs="Arial"/>
                <w:b/>
                <w:sz w:val="22"/>
                <w:szCs w:val="22"/>
              </w:rPr>
              <w:t>Narrative</w:t>
            </w:r>
          </w:p>
        </w:tc>
        <w:tc>
          <w:tcPr>
            <w:tcW w:w="465" w:type="pct"/>
            <w:shd w:val="clear" w:color="auto" w:fill="BFBFBF" w:themeFill="background1" w:themeFillShade="BF"/>
            <w:vAlign w:val="center"/>
          </w:tcPr>
          <w:p w14:paraId="523C8F12" w14:textId="77777777" w:rsidR="00861909" w:rsidRPr="00B5691E" w:rsidRDefault="00861909" w:rsidP="007D7CAD">
            <w:pPr>
              <w:spacing w:line="276" w:lineRule="auto"/>
              <w:jc w:val="center"/>
              <w:rPr>
                <w:rFonts w:ascii="Arial" w:hAnsi="Arial" w:cs="Arial"/>
                <w:b/>
                <w:sz w:val="22"/>
                <w:szCs w:val="22"/>
              </w:rPr>
            </w:pPr>
            <w:r w:rsidRPr="00B5691E">
              <w:rPr>
                <w:rFonts w:ascii="Arial" w:hAnsi="Arial" w:cs="Arial"/>
                <w:b/>
                <w:sz w:val="22"/>
                <w:szCs w:val="22"/>
              </w:rPr>
              <w:t>Found on page</w:t>
            </w:r>
            <w:r>
              <w:rPr>
                <w:rFonts w:ascii="Arial" w:hAnsi="Arial" w:cs="Arial"/>
                <w:b/>
                <w:sz w:val="22"/>
              </w:rPr>
              <w:t>:</w:t>
            </w:r>
          </w:p>
        </w:tc>
        <w:tc>
          <w:tcPr>
            <w:tcW w:w="237" w:type="pct"/>
            <w:shd w:val="clear" w:color="auto" w:fill="BFBFBF" w:themeFill="background1" w:themeFillShade="BF"/>
            <w:vAlign w:val="center"/>
          </w:tcPr>
          <w:p w14:paraId="78498BF7" w14:textId="77777777" w:rsidR="00861909" w:rsidRPr="00B5691E" w:rsidRDefault="00861909" w:rsidP="007D7CAD">
            <w:pPr>
              <w:spacing w:line="276" w:lineRule="auto"/>
              <w:jc w:val="center"/>
              <w:rPr>
                <w:rFonts w:ascii="Arial" w:hAnsi="Arial" w:cs="Arial"/>
                <w:b/>
                <w:sz w:val="22"/>
                <w:szCs w:val="22"/>
              </w:rPr>
            </w:pPr>
            <w:r w:rsidRPr="00B5691E">
              <w:rPr>
                <w:rFonts w:ascii="Arial" w:hAnsi="Arial" w:cs="Arial"/>
                <w:b/>
                <w:sz w:val="22"/>
                <w:szCs w:val="22"/>
              </w:rPr>
              <w:t>Yes</w:t>
            </w:r>
          </w:p>
        </w:tc>
        <w:tc>
          <w:tcPr>
            <w:tcW w:w="199" w:type="pct"/>
            <w:shd w:val="clear" w:color="auto" w:fill="BFBFBF" w:themeFill="background1" w:themeFillShade="BF"/>
            <w:vAlign w:val="center"/>
          </w:tcPr>
          <w:p w14:paraId="388B682F" w14:textId="77777777" w:rsidR="00861909" w:rsidRPr="00B5691E" w:rsidRDefault="00861909" w:rsidP="007D7CAD">
            <w:pPr>
              <w:spacing w:line="276" w:lineRule="auto"/>
              <w:jc w:val="center"/>
              <w:rPr>
                <w:rFonts w:ascii="Arial" w:hAnsi="Arial" w:cs="Arial"/>
                <w:b/>
                <w:sz w:val="22"/>
                <w:szCs w:val="22"/>
              </w:rPr>
            </w:pPr>
            <w:r w:rsidRPr="00B5691E">
              <w:rPr>
                <w:rFonts w:ascii="Arial" w:hAnsi="Arial" w:cs="Arial"/>
                <w:b/>
                <w:sz w:val="22"/>
                <w:szCs w:val="22"/>
              </w:rPr>
              <w:t>No</w:t>
            </w:r>
          </w:p>
        </w:tc>
        <w:tc>
          <w:tcPr>
            <w:tcW w:w="1307" w:type="pct"/>
            <w:shd w:val="clear" w:color="auto" w:fill="BFBFBF" w:themeFill="background1" w:themeFillShade="BF"/>
            <w:vAlign w:val="center"/>
          </w:tcPr>
          <w:p w14:paraId="5728AAD0" w14:textId="77777777" w:rsidR="00861909" w:rsidRPr="00B5691E" w:rsidRDefault="00861909" w:rsidP="007D7CAD">
            <w:pPr>
              <w:spacing w:line="276" w:lineRule="auto"/>
              <w:jc w:val="center"/>
              <w:rPr>
                <w:rFonts w:ascii="Arial" w:hAnsi="Arial" w:cs="Arial"/>
                <w:b/>
                <w:sz w:val="22"/>
                <w:szCs w:val="22"/>
              </w:rPr>
            </w:pPr>
            <w:r w:rsidRPr="00B5691E">
              <w:rPr>
                <w:rFonts w:ascii="Arial" w:hAnsi="Arial" w:cs="Arial"/>
                <w:b/>
                <w:sz w:val="22"/>
                <w:szCs w:val="22"/>
              </w:rPr>
              <w:t>Explanation of “No” answer/Reviewer comments</w:t>
            </w:r>
          </w:p>
        </w:tc>
      </w:tr>
      <w:tr w:rsidR="00D22C00" w:rsidRPr="00B5691E" w14:paraId="3534F297" w14:textId="77777777" w:rsidTr="00D22C00">
        <w:tblPrEx>
          <w:tblLook w:val="0000" w:firstRow="0" w:lastRow="0" w:firstColumn="0" w:lastColumn="0" w:noHBand="0" w:noVBand="0"/>
        </w:tblPrEx>
        <w:trPr>
          <w:cantSplit/>
          <w:trHeight w:val="3321"/>
        </w:trPr>
        <w:tc>
          <w:tcPr>
            <w:tcW w:w="2792" w:type="pct"/>
            <w:shd w:val="clear" w:color="auto" w:fill="FFFFFF" w:themeFill="background1"/>
          </w:tcPr>
          <w:p w14:paraId="514F7DA9" w14:textId="77C80EC0" w:rsidR="00861909" w:rsidRPr="00B5691E" w:rsidRDefault="00861909" w:rsidP="007D7CAD">
            <w:pPr>
              <w:numPr>
                <w:ilvl w:val="0"/>
                <w:numId w:val="20"/>
              </w:numPr>
              <w:spacing w:after="200" w:line="276" w:lineRule="auto"/>
              <w:jc w:val="both"/>
              <w:rPr>
                <w:rFonts w:ascii="Arial" w:hAnsi="Arial" w:cs="Arial"/>
                <w:bCs/>
                <w:sz w:val="22"/>
                <w:szCs w:val="22"/>
              </w:rPr>
            </w:pPr>
            <w:r w:rsidRPr="00861909">
              <w:rPr>
                <w:rFonts w:ascii="Arial" w:hAnsi="Arial" w:cs="Arial"/>
                <w:bCs/>
                <w:sz w:val="22"/>
                <w:szCs w:val="22"/>
              </w:rPr>
              <w:t>A written description of all planned activities to address the Contractor’s minimum requirements, as specified in the Contractor requirements for Providing Maternity Care, Family Planning Services and Supplies, and Well Women’s Preventive Care, including participation in community and/or quality initiatives within the communities served by the Contractor.  The narrative description shall also include Contractor activities to identify member needs, coordination of care, and follow-up activities to ensure appropriate and medically necessary treatment is received in a timely and culturally competent manner. For services that are subcontracted, describe Contractor oversight.</w:t>
            </w:r>
          </w:p>
        </w:tc>
        <w:tc>
          <w:tcPr>
            <w:tcW w:w="465" w:type="pct"/>
            <w:shd w:val="clear" w:color="auto" w:fill="FFFFFF" w:themeFill="background1"/>
            <w:vAlign w:val="center"/>
          </w:tcPr>
          <w:p w14:paraId="7194A67E"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6EC41167"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72DC9054"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1299E6B9" w14:textId="77777777" w:rsidR="00861909" w:rsidRPr="00B5691E" w:rsidRDefault="00861909" w:rsidP="007D7CAD">
            <w:pPr>
              <w:spacing w:after="200" w:line="276" w:lineRule="auto"/>
              <w:rPr>
                <w:rFonts w:ascii="Arial" w:hAnsi="Arial" w:cs="Arial"/>
                <w:sz w:val="22"/>
                <w:szCs w:val="22"/>
              </w:rPr>
            </w:pPr>
          </w:p>
        </w:tc>
      </w:tr>
      <w:tr w:rsidR="00D22C00" w:rsidRPr="00B5691E" w14:paraId="402296B8" w14:textId="77777777" w:rsidTr="00D22C00">
        <w:tblPrEx>
          <w:tblLook w:val="0000" w:firstRow="0" w:lastRow="0" w:firstColumn="0" w:lastColumn="0" w:noHBand="0" w:noVBand="0"/>
        </w:tblPrEx>
        <w:trPr>
          <w:cantSplit/>
          <w:trHeight w:val="965"/>
        </w:trPr>
        <w:tc>
          <w:tcPr>
            <w:tcW w:w="2792" w:type="pct"/>
            <w:shd w:val="clear" w:color="auto" w:fill="FFFFFF" w:themeFill="background1"/>
          </w:tcPr>
          <w:p w14:paraId="7548727D" w14:textId="5DA9DCDE" w:rsidR="00861909" w:rsidRPr="00861909" w:rsidRDefault="00861909" w:rsidP="007D7CAD">
            <w:pPr>
              <w:numPr>
                <w:ilvl w:val="1"/>
                <w:numId w:val="20"/>
              </w:numPr>
              <w:spacing w:after="200" w:line="276" w:lineRule="auto"/>
              <w:jc w:val="both"/>
              <w:rPr>
                <w:rFonts w:ascii="Arial" w:hAnsi="Arial" w:cs="Arial"/>
                <w:bCs/>
                <w:sz w:val="22"/>
                <w:szCs w:val="22"/>
              </w:rPr>
            </w:pPr>
            <w:r w:rsidRPr="00861909">
              <w:rPr>
                <w:rFonts w:ascii="Arial" w:hAnsi="Arial" w:cs="Arial"/>
                <w:bCs/>
                <w:sz w:val="22"/>
                <w:szCs w:val="22"/>
              </w:rPr>
              <w:t>Description of activities that ensure prenatal care, labor/delivery, and postpartum care services provided by Licensed Midwives (LM)and Certified Nurse Midwives (CNM) are in adherence to the requirements contained within AHCCCS policy, procedures, and contracts.</w:t>
            </w:r>
          </w:p>
        </w:tc>
        <w:tc>
          <w:tcPr>
            <w:tcW w:w="465" w:type="pct"/>
            <w:shd w:val="clear" w:color="auto" w:fill="FFFFFF" w:themeFill="background1"/>
            <w:vAlign w:val="center"/>
          </w:tcPr>
          <w:p w14:paraId="775D12E1"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48AA2A1D"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431E756C"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028B96BE" w14:textId="77777777" w:rsidR="00861909" w:rsidRPr="00B5691E" w:rsidRDefault="00861909" w:rsidP="007D7CAD">
            <w:pPr>
              <w:spacing w:after="200" w:line="276" w:lineRule="auto"/>
              <w:rPr>
                <w:rFonts w:ascii="Arial" w:hAnsi="Arial" w:cs="Arial"/>
                <w:sz w:val="22"/>
                <w:szCs w:val="22"/>
              </w:rPr>
            </w:pPr>
          </w:p>
        </w:tc>
      </w:tr>
      <w:tr w:rsidR="00D22C00" w:rsidRPr="00B5691E" w14:paraId="522225D3"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33B9CC40" w14:textId="0ECA24C7" w:rsidR="00861909" w:rsidRPr="00861909" w:rsidRDefault="00861909" w:rsidP="007D7CAD">
            <w:pPr>
              <w:numPr>
                <w:ilvl w:val="1"/>
                <w:numId w:val="20"/>
              </w:numPr>
              <w:spacing w:after="200" w:line="276" w:lineRule="auto"/>
              <w:jc w:val="both"/>
              <w:rPr>
                <w:rFonts w:ascii="Arial" w:hAnsi="Arial" w:cs="Arial"/>
                <w:bCs/>
                <w:sz w:val="22"/>
                <w:szCs w:val="22"/>
              </w:rPr>
            </w:pPr>
            <w:r w:rsidRPr="00861909">
              <w:rPr>
                <w:rFonts w:ascii="Arial" w:hAnsi="Arial" w:cs="Arial"/>
                <w:bCs/>
                <w:sz w:val="22"/>
                <w:szCs w:val="22"/>
              </w:rPr>
              <w:t>Description of activities that ensure all maternity care services are delivered by qualified physicians and non-physician practitioners, according to and in compliance with the most current American College of Obstetrics and Gynecology (ACOG) Standards for Obstetric and Gynecologic (OB/GYN) Services.</w:t>
            </w:r>
          </w:p>
        </w:tc>
        <w:tc>
          <w:tcPr>
            <w:tcW w:w="465" w:type="pct"/>
            <w:shd w:val="clear" w:color="auto" w:fill="FFFFFF" w:themeFill="background1"/>
            <w:vAlign w:val="center"/>
          </w:tcPr>
          <w:p w14:paraId="79DD927B"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444973B7"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50E91736"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192C4365" w14:textId="77777777" w:rsidR="00861909" w:rsidRPr="00B5691E" w:rsidRDefault="00861909" w:rsidP="007D7CAD">
            <w:pPr>
              <w:spacing w:after="200" w:line="276" w:lineRule="auto"/>
              <w:rPr>
                <w:rFonts w:ascii="Arial" w:hAnsi="Arial" w:cs="Arial"/>
                <w:sz w:val="22"/>
                <w:szCs w:val="22"/>
              </w:rPr>
            </w:pPr>
          </w:p>
        </w:tc>
      </w:tr>
      <w:tr w:rsidR="00D22C00" w:rsidRPr="00B5691E" w14:paraId="4AC29450"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4F8301D4" w14:textId="71B966B1" w:rsidR="00861909" w:rsidRPr="00861909" w:rsidRDefault="00861909" w:rsidP="007D7CAD">
            <w:pPr>
              <w:numPr>
                <w:ilvl w:val="1"/>
                <w:numId w:val="20"/>
              </w:numPr>
              <w:spacing w:after="200" w:line="276" w:lineRule="auto"/>
              <w:jc w:val="both"/>
              <w:rPr>
                <w:rFonts w:ascii="Arial" w:hAnsi="Arial" w:cs="Arial"/>
                <w:bCs/>
                <w:sz w:val="22"/>
                <w:szCs w:val="22"/>
              </w:rPr>
            </w:pPr>
            <w:r w:rsidRPr="00861909">
              <w:rPr>
                <w:rFonts w:ascii="Arial" w:hAnsi="Arial" w:cs="Arial"/>
                <w:bCs/>
                <w:sz w:val="22"/>
                <w:szCs w:val="22"/>
              </w:rPr>
              <w:t>Demonstration that the Contractor employs appropriately qualified personnel, in sufficient numbers to carry out the components of the maternity care program for eligible enrolled members and achieve contractual compliance</w:t>
            </w:r>
            <w:r>
              <w:rPr>
                <w:rFonts w:ascii="Arial" w:hAnsi="Arial" w:cs="Arial"/>
                <w:bCs/>
                <w:sz w:val="22"/>
                <w:szCs w:val="22"/>
              </w:rPr>
              <w:t>.</w:t>
            </w:r>
          </w:p>
        </w:tc>
        <w:tc>
          <w:tcPr>
            <w:tcW w:w="465" w:type="pct"/>
            <w:shd w:val="clear" w:color="auto" w:fill="FFFFFF" w:themeFill="background1"/>
            <w:vAlign w:val="center"/>
          </w:tcPr>
          <w:p w14:paraId="6FE9FCAD"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7E8F70CE"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5FE787B2"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504D910E" w14:textId="77777777" w:rsidR="00861909" w:rsidRPr="00B5691E" w:rsidRDefault="00861909" w:rsidP="007D7CAD">
            <w:pPr>
              <w:spacing w:after="200" w:line="276" w:lineRule="auto"/>
              <w:rPr>
                <w:rFonts w:ascii="Arial" w:hAnsi="Arial" w:cs="Arial"/>
                <w:sz w:val="22"/>
                <w:szCs w:val="22"/>
              </w:rPr>
            </w:pPr>
          </w:p>
        </w:tc>
      </w:tr>
      <w:tr w:rsidR="00D22C00" w:rsidRPr="00B5691E" w14:paraId="7C1EBB6D"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0755DE74" w14:textId="26A513B8" w:rsidR="00861909" w:rsidRPr="00861909" w:rsidRDefault="00861909" w:rsidP="007D7CAD">
            <w:pPr>
              <w:numPr>
                <w:ilvl w:val="1"/>
                <w:numId w:val="20"/>
              </w:numPr>
              <w:spacing w:after="200" w:line="276" w:lineRule="auto"/>
              <w:jc w:val="both"/>
              <w:rPr>
                <w:rFonts w:ascii="Arial" w:hAnsi="Arial" w:cs="Arial"/>
                <w:bCs/>
                <w:sz w:val="22"/>
                <w:szCs w:val="22"/>
              </w:rPr>
            </w:pPr>
            <w:r w:rsidRPr="00861909">
              <w:rPr>
                <w:rFonts w:ascii="Arial" w:hAnsi="Arial" w:cs="Arial"/>
                <w:bCs/>
                <w:sz w:val="22"/>
                <w:szCs w:val="22"/>
              </w:rPr>
              <w:lastRenderedPageBreak/>
              <w:t>Process to conduct outreach activities to identify currently enrolled pregnant members and enter them into prenatal care as soon as possible.</w:t>
            </w:r>
          </w:p>
        </w:tc>
        <w:tc>
          <w:tcPr>
            <w:tcW w:w="465" w:type="pct"/>
            <w:shd w:val="clear" w:color="auto" w:fill="FFFFFF" w:themeFill="background1"/>
            <w:vAlign w:val="center"/>
          </w:tcPr>
          <w:p w14:paraId="0443BBC5"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35872DD0"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1DF555B6"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67E5F617" w14:textId="77777777" w:rsidR="00861909" w:rsidRPr="00B5691E" w:rsidRDefault="00861909" w:rsidP="007D7CAD">
            <w:pPr>
              <w:spacing w:after="200" w:line="276" w:lineRule="auto"/>
              <w:rPr>
                <w:rFonts w:ascii="Arial" w:hAnsi="Arial" w:cs="Arial"/>
                <w:sz w:val="22"/>
                <w:szCs w:val="22"/>
              </w:rPr>
            </w:pPr>
          </w:p>
        </w:tc>
      </w:tr>
      <w:tr w:rsidR="00D22C00" w:rsidRPr="00B5691E" w14:paraId="13DBEB66"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6A45BE6F" w14:textId="7DB71FD1" w:rsidR="00861909" w:rsidRPr="00861909" w:rsidRDefault="00861909" w:rsidP="007D7CAD">
            <w:pPr>
              <w:numPr>
                <w:ilvl w:val="1"/>
                <w:numId w:val="20"/>
              </w:numPr>
              <w:spacing w:after="200" w:line="276" w:lineRule="auto"/>
              <w:jc w:val="both"/>
              <w:rPr>
                <w:rFonts w:ascii="Arial" w:hAnsi="Arial" w:cs="Arial"/>
                <w:bCs/>
                <w:sz w:val="22"/>
                <w:szCs w:val="22"/>
              </w:rPr>
            </w:pPr>
            <w:r w:rsidRPr="00861909">
              <w:rPr>
                <w:rFonts w:ascii="Arial" w:hAnsi="Arial" w:cs="Arial"/>
                <w:bCs/>
                <w:sz w:val="22"/>
                <w:szCs w:val="22"/>
              </w:rPr>
              <w:t>Process by which service providers notify the Contractor of case finding activities and members who have tested positive for pregnancy.</w:t>
            </w:r>
          </w:p>
        </w:tc>
        <w:tc>
          <w:tcPr>
            <w:tcW w:w="465" w:type="pct"/>
            <w:shd w:val="clear" w:color="auto" w:fill="FFFFFF" w:themeFill="background1"/>
            <w:vAlign w:val="center"/>
          </w:tcPr>
          <w:p w14:paraId="10A78E3B"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0708221D"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5E115A3F"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5AC00711" w14:textId="77777777" w:rsidR="00861909" w:rsidRPr="00B5691E" w:rsidRDefault="00861909" w:rsidP="007D7CAD">
            <w:pPr>
              <w:spacing w:after="200" w:line="276" w:lineRule="auto"/>
              <w:rPr>
                <w:rFonts w:ascii="Arial" w:hAnsi="Arial" w:cs="Arial"/>
                <w:sz w:val="22"/>
                <w:szCs w:val="22"/>
              </w:rPr>
            </w:pPr>
          </w:p>
        </w:tc>
      </w:tr>
      <w:tr w:rsidR="00D22C00" w:rsidRPr="00B5691E" w14:paraId="10D96E31"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2EBEE633" w14:textId="2638DEAC" w:rsidR="00861909" w:rsidRPr="00861909" w:rsidRDefault="00861909" w:rsidP="007D7CAD">
            <w:pPr>
              <w:numPr>
                <w:ilvl w:val="1"/>
                <w:numId w:val="20"/>
              </w:numPr>
              <w:spacing w:after="200" w:line="276" w:lineRule="auto"/>
              <w:jc w:val="both"/>
              <w:rPr>
                <w:rFonts w:ascii="Arial" w:hAnsi="Arial" w:cs="Arial"/>
                <w:bCs/>
                <w:sz w:val="22"/>
                <w:szCs w:val="22"/>
              </w:rPr>
            </w:pPr>
            <w:r w:rsidRPr="00861909">
              <w:rPr>
                <w:rFonts w:ascii="Arial" w:hAnsi="Arial" w:cs="Arial"/>
                <w:bCs/>
                <w:sz w:val="22"/>
                <w:szCs w:val="22"/>
              </w:rPr>
              <w:t>Description of activities to inform all enrolled AHCCCS pregnant members and maternity care providers of voluntary prenatal Human Immunodeficiency Virus (HIV) testing, and of the availability of counseling, and the benefits of treatment for both the pregnant member and infant, if the test is positive.</w:t>
            </w:r>
          </w:p>
        </w:tc>
        <w:tc>
          <w:tcPr>
            <w:tcW w:w="465" w:type="pct"/>
            <w:shd w:val="clear" w:color="auto" w:fill="FFFFFF" w:themeFill="background1"/>
            <w:vAlign w:val="center"/>
          </w:tcPr>
          <w:p w14:paraId="6C920805"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394A8B52"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7BCFAB04"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68E0BDAC" w14:textId="77777777" w:rsidR="00861909" w:rsidRPr="00B5691E" w:rsidRDefault="00861909" w:rsidP="007D7CAD">
            <w:pPr>
              <w:spacing w:after="200" w:line="276" w:lineRule="auto"/>
              <w:rPr>
                <w:rFonts w:ascii="Arial" w:hAnsi="Arial" w:cs="Arial"/>
                <w:sz w:val="22"/>
                <w:szCs w:val="22"/>
              </w:rPr>
            </w:pPr>
          </w:p>
        </w:tc>
      </w:tr>
      <w:tr w:rsidR="00D22C00" w:rsidRPr="00B5691E" w14:paraId="3C4FC892"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596E585A" w14:textId="2A358DC3" w:rsidR="00861909" w:rsidRPr="00861909" w:rsidRDefault="00861909" w:rsidP="007D7CAD">
            <w:pPr>
              <w:numPr>
                <w:ilvl w:val="1"/>
                <w:numId w:val="20"/>
              </w:numPr>
              <w:spacing w:after="200" w:line="276" w:lineRule="auto"/>
              <w:jc w:val="both"/>
              <w:rPr>
                <w:rFonts w:ascii="Arial" w:hAnsi="Arial" w:cs="Arial"/>
                <w:bCs/>
                <w:sz w:val="22"/>
                <w:szCs w:val="22"/>
              </w:rPr>
            </w:pPr>
            <w:r w:rsidRPr="00861909">
              <w:rPr>
                <w:rFonts w:ascii="Arial" w:hAnsi="Arial" w:cs="Arial"/>
                <w:bCs/>
                <w:sz w:val="22"/>
                <w:szCs w:val="22"/>
              </w:rPr>
              <w:t>Process to ensure designation of a maternity care provider for each enrolled pregnant</w:t>
            </w:r>
            <w:r w:rsidRPr="00861909" w:rsidDel="00961C31">
              <w:rPr>
                <w:rFonts w:ascii="Arial" w:hAnsi="Arial" w:cs="Arial"/>
                <w:bCs/>
                <w:sz w:val="22"/>
                <w:szCs w:val="22"/>
              </w:rPr>
              <w:t xml:space="preserve"> </w:t>
            </w:r>
            <w:r w:rsidRPr="00861909">
              <w:rPr>
                <w:rFonts w:ascii="Arial" w:hAnsi="Arial" w:cs="Arial"/>
                <w:bCs/>
                <w:sz w:val="22"/>
                <w:szCs w:val="22"/>
              </w:rPr>
              <w:t>member for the duration of the pregnancy and postpartum care.</w:t>
            </w:r>
          </w:p>
        </w:tc>
        <w:tc>
          <w:tcPr>
            <w:tcW w:w="465" w:type="pct"/>
            <w:shd w:val="clear" w:color="auto" w:fill="FFFFFF" w:themeFill="background1"/>
            <w:vAlign w:val="center"/>
          </w:tcPr>
          <w:p w14:paraId="79404B4F"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32961501"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42B09238"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0AE6336E" w14:textId="77777777" w:rsidR="00861909" w:rsidRPr="00B5691E" w:rsidRDefault="00861909" w:rsidP="007D7CAD">
            <w:pPr>
              <w:spacing w:after="200" w:line="276" w:lineRule="auto"/>
              <w:rPr>
                <w:rFonts w:ascii="Arial" w:hAnsi="Arial" w:cs="Arial"/>
                <w:sz w:val="22"/>
                <w:szCs w:val="22"/>
              </w:rPr>
            </w:pPr>
          </w:p>
        </w:tc>
      </w:tr>
      <w:tr w:rsidR="00D22C00" w:rsidRPr="00B5691E" w14:paraId="6CE958C3"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35A47E90" w14:textId="7D5E7959" w:rsidR="00861909" w:rsidRPr="00861909" w:rsidRDefault="00861909" w:rsidP="007D7CAD">
            <w:pPr>
              <w:numPr>
                <w:ilvl w:val="1"/>
                <w:numId w:val="20"/>
              </w:numPr>
              <w:spacing w:after="200" w:line="276" w:lineRule="auto"/>
              <w:jc w:val="both"/>
              <w:rPr>
                <w:rFonts w:ascii="Arial" w:hAnsi="Arial" w:cs="Arial"/>
                <w:bCs/>
                <w:sz w:val="22"/>
                <w:szCs w:val="22"/>
              </w:rPr>
            </w:pPr>
            <w:r w:rsidRPr="00861909">
              <w:rPr>
                <w:rFonts w:ascii="Arial" w:hAnsi="Arial" w:cs="Arial"/>
                <w:bCs/>
                <w:sz w:val="22"/>
                <w:szCs w:val="22"/>
              </w:rPr>
              <w:t>Process to provide information regarding the opportunity to change health plans to ensure continuity of prenatal care, to newly assigned pregnant members and those currently under the care of a non-network provider.</w:t>
            </w:r>
          </w:p>
        </w:tc>
        <w:tc>
          <w:tcPr>
            <w:tcW w:w="465" w:type="pct"/>
            <w:shd w:val="clear" w:color="auto" w:fill="FFFFFF" w:themeFill="background1"/>
            <w:vAlign w:val="center"/>
          </w:tcPr>
          <w:p w14:paraId="02982BFD"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22DC3BF0"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75F43469"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348BA944" w14:textId="77777777" w:rsidR="00861909" w:rsidRPr="00B5691E" w:rsidRDefault="00861909" w:rsidP="007D7CAD">
            <w:pPr>
              <w:spacing w:after="200" w:line="276" w:lineRule="auto"/>
              <w:rPr>
                <w:rFonts w:ascii="Arial" w:hAnsi="Arial" w:cs="Arial"/>
                <w:sz w:val="22"/>
                <w:szCs w:val="22"/>
              </w:rPr>
            </w:pPr>
          </w:p>
        </w:tc>
      </w:tr>
      <w:tr w:rsidR="00D22C00" w:rsidRPr="00B5691E" w14:paraId="45D679BD"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51B2CEBE" w14:textId="4F6641FE" w:rsidR="00861909" w:rsidRPr="00861909" w:rsidRDefault="00861909" w:rsidP="007D7CAD">
            <w:pPr>
              <w:numPr>
                <w:ilvl w:val="1"/>
                <w:numId w:val="20"/>
              </w:numPr>
              <w:spacing w:after="200" w:line="276" w:lineRule="auto"/>
              <w:jc w:val="both"/>
              <w:rPr>
                <w:rFonts w:ascii="Arial" w:hAnsi="Arial" w:cs="Arial"/>
                <w:bCs/>
                <w:sz w:val="22"/>
                <w:szCs w:val="22"/>
              </w:rPr>
            </w:pPr>
            <w:r w:rsidRPr="00861909">
              <w:rPr>
                <w:rFonts w:ascii="Arial" w:hAnsi="Arial" w:cs="Arial"/>
                <w:bCs/>
                <w:sz w:val="22"/>
                <w:szCs w:val="22"/>
              </w:rPr>
              <w:t xml:space="preserve">Process to ensure mandatory availability of maternity care coordination services are available and management of enrolled pregnant </w:t>
            </w:r>
            <w:r w:rsidRPr="00861909">
              <w:rPr>
                <w:rFonts w:ascii="Arial" w:hAnsi="Arial" w:cs="Arial"/>
                <w:bCs/>
                <w:sz w:val="22"/>
                <w:szCs w:val="22"/>
              </w:rPr>
              <w:fldChar w:fldCharType="begin"/>
            </w:r>
            <w:r w:rsidRPr="00861909">
              <w:rPr>
                <w:rFonts w:ascii="Arial" w:hAnsi="Arial" w:cs="Arial"/>
                <w:bCs/>
                <w:sz w:val="22"/>
                <w:szCs w:val="22"/>
              </w:rPr>
              <w:instrText xml:space="preserve"> NOTEREF _Ref161061700 \f \h  \* MERGEFORMAT </w:instrText>
            </w:r>
            <w:r w:rsidRPr="00861909">
              <w:rPr>
                <w:rFonts w:ascii="Arial" w:hAnsi="Arial" w:cs="Arial"/>
                <w:bCs/>
                <w:sz w:val="22"/>
                <w:szCs w:val="22"/>
              </w:rPr>
            </w:r>
            <w:r w:rsidRPr="00861909">
              <w:rPr>
                <w:rFonts w:ascii="Arial" w:hAnsi="Arial" w:cs="Arial"/>
                <w:bCs/>
                <w:sz w:val="22"/>
                <w:szCs w:val="22"/>
              </w:rPr>
              <w:fldChar w:fldCharType="separate"/>
            </w:r>
            <w:r w:rsidRPr="00861909">
              <w:rPr>
                <w:rFonts w:ascii="Arial" w:hAnsi="Arial" w:cs="Arial"/>
                <w:bCs/>
                <w:sz w:val="22"/>
                <w:szCs w:val="22"/>
              </w:rPr>
              <w:t>3</w:t>
            </w:r>
            <w:r w:rsidRPr="00861909">
              <w:rPr>
                <w:rFonts w:ascii="Arial" w:hAnsi="Arial" w:cs="Arial"/>
                <w:bCs/>
                <w:sz w:val="22"/>
                <w:szCs w:val="22"/>
              </w:rPr>
              <w:fldChar w:fldCharType="end"/>
            </w:r>
            <w:r w:rsidRPr="00861909">
              <w:rPr>
                <w:rFonts w:ascii="Arial" w:hAnsi="Arial" w:cs="Arial"/>
                <w:bCs/>
                <w:sz w:val="22"/>
                <w:szCs w:val="22"/>
              </w:rPr>
              <w:t>members who are determined to be medically/socially at-risk by the maternity care provider or Contractor</w:t>
            </w:r>
          </w:p>
        </w:tc>
        <w:tc>
          <w:tcPr>
            <w:tcW w:w="465" w:type="pct"/>
            <w:shd w:val="clear" w:color="auto" w:fill="FFFFFF" w:themeFill="background1"/>
            <w:vAlign w:val="center"/>
          </w:tcPr>
          <w:p w14:paraId="53B222B8"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73EAC28F"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1036E05D"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2449FF5E" w14:textId="77777777" w:rsidR="00861909" w:rsidRPr="00B5691E" w:rsidRDefault="00861909" w:rsidP="007D7CAD">
            <w:pPr>
              <w:spacing w:after="200" w:line="276" w:lineRule="auto"/>
              <w:rPr>
                <w:rFonts w:ascii="Arial" w:hAnsi="Arial" w:cs="Arial"/>
                <w:sz w:val="22"/>
                <w:szCs w:val="22"/>
              </w:rPr>
            </w:pPr>
          </w:p>
        </w:tc>
      </w:tr>
      <w:tr w:rsidR="00D22C00" w:rsidRPr="00B5691E" w14:paraId="4A933A4E"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6F69BB9C" w14:textId="77777777" w:rsidR="00364D9D" w:rsidRDefault="00364D9D" w:rsidP="007D7CAD">
            <w:pPr>
              <w:numPr>
                <w:ilvl w:val="1"/>
                <w:numId w:val="20"/>
              </w:numPr>
              <w:spacing w:line="276" w:lineRule="auto"/>
              <w:jc w:val="both"/>
              <w:rPr>
                <w:rFonts w:ascii="Arial" w:hAnsi="Arial" w:cs="Arial"/>
                <w:bCs/>
                <w:sz w:val="22"/>
                <w:szCs w:val="22"/>
              </w:rPr>
            </w:pPr>
            <w:r w:rsidRPr="00364D9D">
              <w:rPr>
                <w:rFonts w:ascii="Arial" w:hAnsi="Arial" w:cs="Arial"/>
                <w:bCs/>
                <w:sz w:val="22"/>
                <w:szCs w:val="22"/>
              </w:rPr>
              <w:lastRenderedPageBreak/>
              <w:t>Description of activities to ensure network providers adhere to AHCCCS requirements as specified in AMPM Policy 410.  Including but not limited to:</w:t>
            </w:r>
          </w:p>
          <w:p w14:paraId="30CA5029" w14:textId="7BEA87D4" w:rsidR="00364D9D" w:rsidRPr="00364D9D" w:rsidRDefault="00364D9D" w:rsidP="007D7CAD">
            <w:pPr>
              <w:numPr>
                <w:ilvl w:val="2"/>
                <w:numId w:val="20"/>
              </w:numPr>
              <w:spacing w:line="276" w:lineRule="auto"/>
              <w:jc w:val="both"/>
              <w:rPr>
                <w:rFonts w:ascii="Arial" w:hAnsi="Arial" w:cs="Arial"/>
                <w:bCs/>
                <w:sz w:val="22"/>
                <w:szCs w:val="22"/>
              </w:rPr>
            </w:pPr>
            <w:r w:rsidRPr="00364D9D">
              <w:rPr>
                <w:rFonts w:ascii="Arial" w:hAnsi="Arial" w:cs="Arial"/>
                <w:bCs/>
                <w:sz w:val="22"/>
                <w:szCs w:val="22"/>
              </w:rPr>
              <w:t xml:space="preserve">Prenatal care, </w:t>
            </w:r>
          </w:p>
          <w:p w14:paraId="5C720DC2" w14:textId="77777777" w:rsidR="00364D9D" w:rsidRPr="00364D9D" w:rsidRDefault="00364D9D" w:rsidP="007D7CAD">
            <w:pPr>
              <w:numPr>
                <w:ilvl w:val="2"/>
                <w:numId w:val="20"/>
              </w:numPr>
              <w:spacing w:line="276" w:lineRule="auto"/>
              <w:jc w:val="both"/>
              <w:rPr>
                <w:rFonts w:ascii="Arial" w:hAnsi="Arial" w:cs="Arial"/>
                <w:bCs/>
                <w:sz w:val="22"/>
                <w:szCs w:val="22"/>
              </w:rPr>
            </w:pPr>
            <w:r w:rsidRPr="00364D9D">
              <w:rPr>
                <w:rFonts w:ascii="Arial" w:hAnsi="Arial" w:cs="Arial"/>
                <w:bCs/>
                <w:sz w:val="22"/>
                <w:szCs w:val="22"/>
              </w:rPr>
              <w:t xml:space="preserve">Return visits, and </w:t>
            </w:r>
          </w:p>
          <w:p w14:paraId="641A634E" w14:textId="1E86B5A7" w:rsidR="00861909" w:rsidRPr="00861909" w:rsidRDefault="00364D9D" w:rsidP="007D7CAD">
            <w:pPr>
              <w:numPr>
                <w:ilvl w:val="2"/>
                <w:numId w:val="20"/>
              </w:numPr>
              <w:spacing w:after="240" w:line="276" w:lineRule="auto"/>
              <w:jc w:val="both"/>
              <w:rPr>
                <w:rFonts w:ascii="Arial" w:hAnsi="Arial" w:cs="Arial"/>
                <w:bCs/>
                <w:sz w:val="22"/>
                <w:szCs w:val="22"/>
              </w:rPr>
            </w:pPr>
            <w:r w:rsidRPr="00364D9D">
              <w:rPr>
                <w:rFonts w:ascii="Arial" w:hAnsi="Arial" w:cs="Arial"/>
                <w:bCs/>
                <w:sz w:val="22"/>
                <w:szCs w:val="22"/>
              </w:rPr>
              <w:t>Postpartum visits</w:t>
            </w:r>
          </w:p>
        </w:tc>
        <w:tc>
          <w:tcPr>
            <w:tcW w:w="465" w:type="pct"/>
            <w:shd w:val="clear" w:color="auto" w:fill="FFFFFF" w:themeFill="background1"/>
            <w:vAlign w:val="center"/>
          </w:tcPr>
          <w:p w14:paraId="63609A80"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0C140150"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7683013F"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1AD3CE04" w14:textId="77777777" w:rsidR="00861909" w:rsidRPr="00B5691E" w:rsidRDefault="00861909" w:rsidP="007D7CAD">
            <w:pPr>
              <w:spacing w:after="200" w:line="276" w:lineRule="auto"/>
              <w:rPr>
                <w:rFonts w:ascii="Arial" w:hAnsi="Arial" w:cs="Arial"/>
                <w:sz w:val="22"/>
                <w:szCs w:val="22"/>
              </w:rPr>
            </w:pPr>
          </w:p>
        </w:tc>
      </w:tr>
      <w:tr w:rsidR="00D22C00" w:rsidRPr="00B5691E" w14:paraId="00FB5828"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2076D538" w14:textId="77777777" w:rsidR="00364D9D" w:rsidRPr="00364D9D" w:rsidRDefault="00364D9D" w:rsidP="007D7CAD">
            <w:pPr>
              <w:numPr>
                <w:ilvl w:val="1"/>
                <w:numId w:val="20"/>
              </w:numPr>
              <w:spacing w:line="276" w:lineRule="auto"/>
              <w:jc w:val="both"/>
              <w:rPr>
                <w:rFonts w:ascii="Arial" w:hAnsi="Arial" w:cs="Arial"/>
                <w:bCs/>
                <w:sz w:val="22"/>
                <w:szCs w:val="22"/>
              </w:rPr>
            </w:pPr>
            <w:r w:rsidRPr="00364D9D">
              <w:rPr>
                <w:rFonts w:ascii="Arial" w:hAnsi="Arial" w:cs="Arial"/>
                <w:bCs/>
                <w:sz w:val="22"/>
                <w:szCs w:val="22"/>
              </w:rPr>
              <w:t xml:space="preserve">Documented process for informing providers of maternity care requirements including but not limited to: </w:t>
            </w:r>
          </w:p>
          <w:p w14:paraId="62C72617" w14:textId="77777777" w:rsidR="00364D9D" w:rsidRDefault="00364D9D" w:rsidP="007D7CAD">
            <w:pPr>
              <w:numPr>
                <w:ilvl w:val="2"/>
                <w:numId w:val="20"/>
              </w:numPr>
              <w:spacing w:line="276" w:lineRule="auto"/>
              <w:jc w:val="both"/>
              <w:rPr>
                <w:rFonts w:ascii="Arial" w:hAnsi="Arial" w:cs="Arial"/>
                <w:bCs/>
                <w:sz w:val="22"/>
                <w:szCs w:val="22"/>
              </w:rPr>
            </w:pPr>
            <w:r w:rsidRPr="00364D9D">
              <w:rPr>
                <w:rFonts w:ascii="Arial" w:hAnsi="Arial" w:cs="Arial"/>
                <w:bCs/>
                <w:sz w:val="22"/>
                <w:szCs w:val="22"/>
              </w:rPr>
              <w:t xml:space="preserve">Updating providers when there are changes to AHCCCS and Contractor policies and requirements, </w:t>
            </w:r>
          </w:p>
          <w:p w14:paraId="6357F56F" w14:textId="77777777" w:rsidR="00364D9D" w:rsidRDefault="00364D9D" w:rsidP="007D7CAD">
            <w:pPr>
              <w:numPr>
                <w:ilvl w:val="2"/>
                <w:numId w:val="20"/>
              </w:numPr>
              <w:spacing w:line="276" w:lineRule="auto"/>
              <w:jc w:val="both"/>
              <w:rPr>
                <w:rFonts w:ascii="Arial" w:hAnsi="Arial" w:cs="Arial"/>
                <w:bCs/>
                <w:sz w:val="22"/>
                <w:szCs w:val="22"/>
              </w:rPr>
            </w:pPr>
            <w:r w:rsidRPr="00364D9D">
              <w:rPr>
                <w:rFonts w:ascii="Arial" w:hAnsi="Arial" w:cs="Arial"/>
                <w:bCs/>
                <w:sz w:val="22"/>
                <w:szCs w:val="22"/>
              </w:rPr>
              <w:t xml:space="preserve">Utilization of Arizona Perinatal Psychiatry Access Line (A-PAL) resources when applicable, and </w:t>
            </w:r>
          </w:p>
          <w:p w14:paraId="62ABBD99" w14:textId="689BBD65" w:rsidR="00861909" w:rsidRPr="00364D9D" w:rsidRDefault="00364D9D" w:rsidP="007D7CAD">
            <w:pPr>
              <w:numPr>
                <w:ilvl w:val="2"/>
                <w:numId w:val="20"/>
              </w:numPr>
              <w:spacing w:after="240" w:line="276" w:lineRule="auto"/>
              <w:jc w:val="both"/>
              <w:rPr>
                <w:rFonts w:ascii="Arial" w:hAnsi="Arial" w:cs="Arial"/>
                <w:bCs/>
                <w:sz w:val="22"/>
                <w:szCs w:val="22"/>
              </w:rPr>
            </w:pPr>
            <w:r w:rsidRPr="00364D9D">
              <w:rPr>
                <w:rFonts w:ascii="Arial" w:hAnsi="Arial" w:cs="Arial"/>
                <w:bCs/>
                <w:sz w:val="22"/>
                <w:szCs w:val="22"/>
              </w:rPr>
              <w:t xml:space="preserve">Implementing the ACOG standards of care, including the use of a standardized medical risk assessment tool and ongoing risk assessment. </w:t>
            </w:r>
          </w:p>
        </w:tc>
        <w:tc>
          <w:tcPr>
            <w:tcW w:w="465" w:type="pct"/>
            <w:shd w:val="clear" w:color="auto" w:fill="FFFFFF" w:themeFill="background1"/>
            <w:vAlign w:val="center"/>
          </w:tcPr>
          <w:p w14:paraId="71958F97" w14:textId="77777777" w:rsidR="00861909" w:rsidRPr="00B5691E" w:rsidRDefault="00861909" w:rsidP="007D7CAD">
            <w:pPr>
              <w:spacing w:after="200" w:line="276" w:lineRule="auto"/>
              <w:rPr>
                <w:rFonts w:ascii="Arial" w:hAnsi="Arial" w:cs="Arial"/>
                <w:sz w:val="22"/>
                <w:szCs w:val="22"/>
              </w:rPr>
            </w:pPr>
          </w:p>
        </w:tc>
        <w:tc>
          <w:tcPr>
            <w:tcW w:w="237" w:type="pct"/>
            <w:shd w:val="clear" w:color="auto" w:fill="FFFFFF" w:themeFill="background1"/>
            <w:vAlign w:val="center"/>
          </w:tcPr>
          <w:p w14:paraId="11B27B1C" w14:textId="77777777" w:rsidR="00861909" w:rsidRPr="00B5691E" w:rsidRDefault="00861909" w:rsidP="007D7CAD">
            <w:pPr>
              <w:spacing w:after="200" w:line="276" w:lineRule="auto"/>
              <w:rPr>
                <w:rFonts w:ascii="Arial" w:hAnsi="Arial" w:cs="Arial"/>
                <w:sz w:val="22"/>
                <w:szCs w:val="22"/>
              </w:rPr>
            </w:pPr>
          </w:p>
        </w:tc>
        <w:tc>
          <w:tcPr>
            <w:tcW w:w="199" w:type="pct"/>
            <w:shd w:val="clear" w:color="auto" w:fill="FFFFFF" w:themeFill="background1"/>
            <w:vAlign w:val="center"/>
          </w:tcPr>
          <w:p w14:paraId="0729A057" w14:textId="77777777" w:rsidR="00861909" w:rsidRPr="00B5691E" w:rsidRDefault="00861909" w:rsidP="007D7CAD">
            <w:pPr>
              <w:spacing w:after="200" w:line="276" w:lineRule="auto"/>
              <w:rPr>
                <w:rFonts w:ascii="Arial" w:hAnsi="Arial" w:cs="Arial"/>
                <w:sz w:val="22"/>
                <w:szCs w:val="22"/>
              </w:rPr>
            </w:pPr>
          </w:p>
        </w:tc>
        <w:tc>
          <w:tcPr>
            <w:tcW w:w="1307" w:type="pct"/>
            <w:shd w:val="clear" w:color="auto" w:fill="FFFFFF" w:themeFill="background1"/>
            <w:vAlign w:val="center"/>
          </w:tcPr>
          <w:p w14:paraId="62F8E1CD" w14:textId="77777777" w:rsidR="00861909" w:rsidRPr="00B5691E" w:rsidRDefault="00861909" w:rsidP="007D7CAD">
            <w:pPr>
              <w:spacing w:after="200" w:line="276" w:lineRule="auto"/>
              <w:rPr>
                <w:rFonts w:ascii="Arial" w:hAnsi="Arial" w:cs="Arial"/>
                <w:sz w:val="22"/>
                <w:szCs w:val="22"/>
              </w:rPr>
            </w:pPr>
          </w:p>
        </w:tc>
      </w:tr>
      <w:tr w:rsidR="00D22C00" w:rsidRPr="00B5691E" w14:paraId="28224D16"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1D30319A" w14:textId="0E1C730B"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 xml:space="preserve">Process to document written intake procedures for the provider, which includes identifying risk factors </w:t>
            </w:r>
            <w:proofErr w:type="gramStart"/>
            <w:r w:rsidRPr="00364D9D">
              <w:rPr>
                <w:rFonts w:ascii="Arial" w:hAnsi="Arial" w:cs="Arial"/>
                <w:bCs/>
                <w:sz w:val="22"/>
                <w:szCs w:val="22"/>
              </w:rPr>
              <w:t>through the use of</w:t>
            </w:r>
            <w:proofErr w:type="gramEnd"/>
            <w:r w:rsidRPr="00364D9D">
              <w:rPr>
                <w:rFonts w:ascii="Arial" w:hAnsi="Arial" w:cs="Arial"/>
                <w:bCs/>
                <w:sz w:val="22"/>
                <w:szCs w:val="22"/>
              </w:rPr>
              <w:t xml:space="preserve"> a comprehensive tool that covers psychosocial, nutritional, medical, and educational factors (e.g., ACOG)</w:t>
            </w:r>
          </w:p>
        </w:tc>
        <w:tc>
          <w:tcPr>
            <w:tcW w:w="465" w:type="pct"/>
            <w:shd w:val="clear" w:color="auto" w:fill="FFFFFF" w:themeFill="background1"/>
            <w:vAlign w:val="center"/>
          </w:tcPr>
          <w:p w14:paraId="5CEBA2E1"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56D48BF2"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3309A692"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1447F8D9" w14:textId="77777777" w:rsidR="00364D9D" w:rsidRPr="00B5691E" w:rsidRDefault="00364D9D" w:rsidP="007D7CAD">
            <w:pPr>
              <w:spacing w:after="240" w:line="276" w:lineRule="auto"/>
              <w:rPr>
                <w:rFonts w:ascii="Arial" w:hAnsi="Arial" w:cs="Arial"/>
                <w:sz w:val="22"/>
                <w:szCs w:val="22"/>
              </w:rPr>
            </w:pPr>
          </w:p>
        </w:tc>
      </w:tr>
      <w:tr w:rsidR="00D22C00" w:rsidRPr="00B5691E" w14:paraId="5CAAAD38"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78FBC951" w14:textId="136A74CB"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Process for referral of members to support services such as the Special Supplemental Nutrition Program for Women, Infants, and Children (WIC), and the process for notifying members that in the event they lose eligibility, they may contact the Arizona Department of Health Services (ADHS) Hotline for a referral to a low or no-cost service/agency.</w:t>
            </w:r>
          </w:p>
        </w:tc>
        <w:tc>
          <w:tcPr>
            <w:tcW w:w="465" w:type="pct"/>
            <w:shd w:val="clear" w:color="auto" w:fill="FFFFFF" w:themeFill="background1"/>
            <w:vAlign w:val="center"/>
          </w:tcPr>
          <w:p w14:paraId="6E671931"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043E54E1"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664AFAC0"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65828EBC" w14:textId="77777777" w:rsidR="00364D9D" w:rsidRPr="00B5691E" w:rsidRDefault="00364D9D" w:rsidP="007D7CAD">
            <w:pPr>
              <w:spacing w:after="240" w:line="276" w:lineRule="auto"/>
              <w:rPr>
                <w:rFonts w:ascii="Arial" w:hAnsi="Arial" w:cs="Arial"/>
                <w:sz w:val="22"/>
                <w:szCs w:val="22"/>
              </w:rPr>
            </w:pPr>
          </w:p>
        </w:tc>
      </w:tr>
      <w:tr w:rsidR="00D22C00" w:rsidRPr="00B5691E" w14:paraId="25906152"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7802DAE0" w14:textId="704B38D1"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lastRenderedPageBreak/>
              <w:t>Process that ensures all providers maintain complete medical records documenting all aspects of maternity care</w:t>
            </w:r>
          </w:p>
        </w:tc>
        <w:tc>
          <w:tcPr>
            <w:tcW w:w="465" w:type="pct"/>
            <w:shd w:val="clear" w:color="auto" w:fill="FFFFFF" w:themeFill="background1"/>
            <w:vAlign w:val="center"/>
          </w:tcPr>
          <w:p w14:paraId="2093CBD2"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60FF0849"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32EDBFEC"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65E88DAF" w14:textId="77777777" w:rsidR="00364D9D" w:rsidRPr="00B5691E" w:rsidRDefault="00364D9D" w:rsidP="007D7CAD">
            <w:pPr>
              <w:spacing w:after="240" w:line="276" w:lineRule="auto"/>
              <w:rPr>
                <w:rFonts w:ascii="Arial" w:hAnsi="Arial" w:cs="Arial"/>
                <w:sz w:val="22"/>
                <w:szCs w:val="22"/>
              </w:rPr>
            </w:pPr>
          </w:p>
        </w:tc>
      </w:tr>
      <w:tr w:rsidR="00D22C00" w:rsidRPr="00B5691E" w14:paraId="0DF55020"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63B009B0" w14:textId="3CF8D720"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Description of activities to ensure mandatory provision of initial prenatal care appointments within established timeframes.</w:t>
            </w:r>
          </w:p>
        </w:tc>
        <w:tc>
          <w:tcPr>
            <w:tcW w:w="465" w:type="pct"/>
            <w:shd w:val="clear" w:color="auto" w:fill="FFFFFF" w:themeFill="background1"/>
            <w:vAlign w:val="center"/>
          </w:tcPr>
          <w:p w14:paraId="73709DA5"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425CB4AF"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798C6D38"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1B4700C5" w14:textId="77777777" w:rsidR="00364D9D" w:rsidRPr="00B5691E" w:rsidRDefault="00364D9D" w:rsidP="007D7CAD">
            <w:pPr>
              <w:spacing w:after="240" w:line="276" w:lineRule="auto"/>
              <w:rPr>
                <w:rFonts w:ascii="Arial" w:hAnsi="Arial" w:cs="Arial"/>
                <w:sz w:val="22"/>
                <w:szCs w:val="22"/>
              </w:rPr>
            </w:pPr>
          </w:p>
        </w:tc>
      </w:tr>
      <w:tr w:rsidR="00D22C00" w:rsidRPr="00B5691E" w14:paraId="29D008BC"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42CCB9E5" w14:textId="7F20D556"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A process to monitor and evaluate cesarean section and elective induction rates prior to 39 weeks gestation, as per ACOG recommendations, and implement interventions to decrease the incidence of occurrence.</w:t>
            </w:r>
          </w:p>
        </w:tc>
        <w:tc>
          <w:tcPr>
            <w:tcW w:w="465" w:type="pct"/>
            <w:shd w:val="clear" w:color="auto" w:fill="FFFFFF" w:themeFill="background1"/>
            <w:vAlign w:val="center"/>
          </w:tcPr>
          <w:p w14:paraId="43044CA0"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16FC6614"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6BE4B979"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40AC373D" w14:textId="77777777" w:rsidR="00364D9D" w:rsidRPr="00B5691E" w:rsidRDefault="00364D9D" w:rsidP="007D7CAD">
            <w:pPr>
              <w:spacing w:after="240" w:line="276" w:lineRule="auto"/>
              <w:rPr>
                <w:rFonts w:ascii="Arial" w:hAnsi="Arial" w:cs="Arial"/>
                <w:sz w:val="22"/>
                <w:szCs w:val="22"/>
              </w:rPr>
            </w:pPr>
          </w:p>
        </w:tc>
      </w:tr>
      <w:tr w:rsidR="00D22C00" w:rsidRPr="00B5691E" w14:paraId="62E40D3E"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6C04CD76" w14:textId="5C43A7E5"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Process to monitor and evaluate Low Birth Weight and Very Low Birth Weight (LBW/VLBW) infants and implement interventions to decrease LBW/VLBW</w:t>
            </w:r>
            <w:r>
              <w:rPr>
                <w:rFonts w:ascii="Arial" w:hAnsi="Arial" w:cs="Arial"/>
                <w:bCs/>
                <w:sz w:val="22"/>
                <w:szCs w:val="22"/>
              </w:rPr>
              <w:t>.</w:t>
            </w:r>
          </w:p>
        </w:tc>
        <w:tc>
          <w:tcPr>
            <w:tcW w:w="465" w:type="pct"/>
            <w:shd w:val="clear" w:color="auto" w:fill="FFFFFF" w:themeFill="background1"/>
            <w:vAlign w:val="center"/>
          </w:tcPr>
          <w:p w14:paraId="0F4B2321"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508F54D2"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25B5E018"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4D62D076" w14:textId="77777777" w:rsidR="00364D9D" w:rsidRPr="00B5691E" w:rsidRDefault="00364D9D" w:rsidP="007D7CAD">
            <w:pPr>
              <w:spacing w:after="240" w:line="276" w:lineRule="auto"/>
              <w:rPr>
                <w:rFonts w:ascii="Arial" w:hAnsi="Arial" w:cs="Arial"/>
                <w:sz w:val="22"/>
                <w:szCs w:val="22"/>
              </w:rPr>
            </w:pPr>
          </w:p>
        </w:tc>
      </w:tr>
      <w:tr w:rsidR="00D22C00" w:rsidRPr="00B5691E" w14:paraId="0D3A57E5"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1915142F" w14:textId="51A78F21"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Process to ensure that all enrolled pregnant members receive transportation services as needed and as described in AMPM Policy 310-BB.</w:t>
            </w:r>
          </w:p>
        </w:tc>
        <w:tc>
          <w:tcPr>
            <w:tcW w:w="465" w:type="pct"/>
            <w:shd w:val="clear" w:color="auto" w:fill="FFFFFF" w:themeFill="background1"/>
            <w:vAlign w:val="center"/>
          </w:tcPr>
          <w:p w14:paraId="58B40638"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0D5F8690"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24B9EB3A"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0B81CA4B" w14:textId="77777777" w:rsidR="00364D9D" w:rsidRPr="00B5691E" w:rsidRDefault="00364D9D" w:rsidP="007D7CAD">
            <w:pPr>
              <w:spacing w:after="240" w:line="276" w:lineRule="auto"/>
              <w:rPr>
                <w:rFonts w:ascii="Arial" w:hAnsi="Arial" w:cs="Arial"/>
                <w:sz w:val="22"/>
                <w:szCs w:val="22"/>
              </w:rPr>
            </w:pPr>
          </w:p>
        </w:tc>
      </w:tr>
      <w:tr w:rsidR="00D22C00" w:rsidRPr="00B5691E" w14:paraId="5D876E2F"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6C7036F8" w14:textId="56EB3A87"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Process to address substance use disorder treatment, referral, and follow-up specific to maternity members, per ACOG guidelines including but not limited to review of Controlled Substances Prescription Monitoring Program (CSPMP) every trimester, Neonatal Abstinence Syndrome (NAS) and Medications for Opioid Use Disorder</w:t>
            </w:r>
            <w:r w:rsidRPr="00364D9D" w:rsidDel="00BA700B">
              <w:rPr>
                <w:rFonts w:ascii="Arial" w:hAnsi="Arial" w:cs="Arial"/>
                <w:bCs/>
                <w:sz w:val="22"/>
                <w:szCs w:val="22"/>
              </w:rPr>
              <w:t xml:space="preserve"> </w:t>
            </w:r>
            <w:r w:rsidRPr="00364D9D">
              <w:rPr>
                <w:rFonts w:ascii="Arial" w:hAnsi="Arial" w:cs="Arial"/>
                <w:bCs/>
                <w:sz w:val="22"/>
                <w:szCs w:val="22"/>
              </w:rPr>
              <w:t>(MOUD).</w:t>
            </w:r>
          </w:p>
        </w:tc>
        <w:tc>
          <w:tcPr>
            <w:tcW w:w="465" w:type="pct"/>
            <w:shd w:val="clear" w:color="auto" w:fill="FFFFFF" w:themeFill="background1"/>
            <w:vAlign w:val="center"/>
          </w:tcPr>
          <w:p w14:paraId="27F9A947"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2FDFD2E6"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38AA8DAF"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020A3B09" w14:textId="77777777" w:rsidR="00364D9D" w:rsidRPr="00B5691E" w:rsidRDefault="00364D9D" w:rsidP="007D7CAD">
            <w:pPr>
              <w:spacing w:after="240" w:line="276" w:lineRule="auto"/>
              <w:rPr>
                <w:rFonts w:ascii="Arial" w:hAnsi="Arial" w:cs="Arial"/>
                <w:sz w:val="22"/>
                <w:szCs w:val="22"/>
              </w:rPr>
            </w:pPr>
          </w:p>
        </w:tc>
      </w:tr>
      <w:tr w:rsidR="00D22C00" w:rsidRPr="00B5691E" w14:paraId="173F6A7C"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4E0AB839" w14:textId="7B23CC02"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Process to implement an outreach program to notify members of reproductive age of the specific covered family planning services and supplies available to them, including Long-</w:t>
            </w:r>
            <w:r w:rsidRPr="00364D9D">
              <w:rPr>
                <w:rFonts w:ascii="Arial" w:hAnsi="Arial" w:cs="Arial"/>
                <w:bCs/>
                <w:sz w:val="22"/>
                <w:szCs w:val="22"/>
              </w:rPr>
              <w:lastRenderedPageBreak/>
              <w:t>Acting Reversible Contraception (LARC), Immediate Postpartum Long-Acting Reversible Contraceptives (IPLARC), Sexually Transmitted Infections (STI),</w:t>
            </w:r>
            <w:r>
              <w:rPr>
                <w:rFonts w:ascii="Arial" w:hAnsi="Arial" w:cs="Arial"/>
                <w:bCs/>
                <w:sz w:val="22"/>
                <w:szCs w:val="22"/>
              </w:rPr>
              <w:t xml:space="preserve"> </w:t>
            </w:r>
            <w:proofErr w:type="spellStart"/>
            <w:r>
              <w:rPr>
                <w:rFonts w:ascii="Arial" w:hAnsi="Arial" w:cs="Arial"/>
                <w:bCs/>
                <w:sz w:val="22"/>
                <w:szCs w:val="22"/>
              </w:rPr>
              <w:t>i</w:t>
            </w:r>
            <w:r w:rsidRPr="00364D9D">
              <w:rPr>
                <w:rFonts w:ascii="Arial" w:hAnsi="Arial" w:cs="Arial"/>
                <w:bCs/>
                <w:sz w:val="22"/>
                <w:szCs w:val="22"/>
              </w:rPr>
              <w:t>nterconception</w:t>
            </w:r>
            <w:proofErr w:type="spellEnd"/>
            <w:r w:rsidRPr="00364D9D">
              <w:rPr>
                <w:rFonts w:ascii="Arial" w:hAnsi="Arial" w:cs="Arial"/>
                <w:bCs/>
                <w:sz w:val="22"/>
                <w:szCs w:val="22"/>
              </w:rPr>
              <w:t xml:space="preserve"> Health and how to request these services (AMPM Exhibit 400-3 and AMPM Policy 420).</w:t>
            </w:r>
          </w:p>
        </w:tc>
        <w:tc>
          <w:tcPr>
            <w:tcW w:w="465" w:type="pct"/>
            <w:shd w:val="clear" w:color="auto" w:fill="FFFFFF" w:themeFill="background1"/>
            <w:vAlign w:val="center"/>
          </w:tcPr>
          <w:p w14:paraId="0C4A3E46"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1743B58F"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1B98F649"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562CFEFF" w14:textId="77777777" w:rsidR="00364D9D" w:rsidRPr="00B5691E" w:rsidRDefault="00364D9D" w:rsidP="007D7CAD">
            <w:pPr>
              <w:spacing w:after="240" w:line="276" w:lineRule="auto"/>
              <w:rPr>
                <w:rFonts w:ascii="Arial" w:hAnsi="Arial" w:cs="Arial"/>
                <w:sz w:val="22"/>
                <w:szCs w:val="22"/>
              </w:rPr>
            </w:pPr>
          </w:p>
        </w:tc>
      </w:tr>
      <w:tr w:rsidR="00D22C00" w:rsidRPr="00B5691E" w14:paraId="79F69399"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6B4C0379" w14:textId="715AE9DA"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Monitoring and evaluation of maternal mortality and morbidity and implementation of interventions to decrease the occurrence of pregnancy-related mortality and morbidity and health disparities in both the prenatal and postpartum period.</w:t>
            </w:r>
          </w:p>
        </w:tc>
        <w:tc>
          <w:tcPr>
            <w:tcW w:w="465" w:type="pct"/>
            <w:shd w:val="clear" w:color="auto" w:fill="FFFFFF" w:themeFill="background1"/>
            <w:vAlign w:val="center"/>
          </w:tcPr>
          <w:p w14:paraId="5E2E25C0"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2B6B2D10"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49AC9162"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7C523CE2" w14:textId="77777777" w:rsidR="00364D9D" w:rsidRPr="00B5691E" w:rsidRDefault="00364D9D" w:rsidP="007D7CAD">
            <w:pPr>
              <w:spacing w:after="240" w:line="276" w:lineRule="auto"/>
              <w:rPr>
                <w:rFonts w:ascii="Arial" w:hAnsi="Arial" w:cs="Arial"/>
                <w:sz w:val="22"/>
                <w:szCs w:val="22"/>
              </w:rPr>
            </w:pPr>
          </w:p>
        </w:tc>
      </w:tr>
      <w:tr w:rsidR="00D22C00" w:rsidRPr="00B5691E" w14:paraId="50F9BC60"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41D056E3" w14:textId="5A9CED81"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Process to monitor and evaluate postpartum activities and interventions to increase postpartum visit utilization per National Committee for Quality Assurance (NCQA) measures.</w:t>
            </w:r>
          </w:p>
        </w:tc>
        <w:tc>
          <w:tcPr>
            <w:tcW w:w="465" w:type="pct"/>
            <w:shd w:val="clear" w:color="auto" w:fill="FFFFFF" w:themeFill="background1"/>
            <w:vAlign w:val="center"/>
          </w:tcPr>
          <w:p w14:paraId="70A21C87"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162D4D9F"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630799DC"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35A6899A" w14:textId="77777777" w:rsidR="00364D9D" w:rsidRPr="00B5691E" w:rsidRDefault="00364D9D" w:rsidP="007D7CAD">
            <w:pPr>
              <w:spacing w:after="240" w:line="276" w:lineRule="auto"/>
              <w:rPr>
                <w:rFonts w:ascii="Arial" w:hAnsi="Arial" w:cs="Arial"/>
                <w:sz w:val="22"/>
                <w:szCs w:val="22"/>
              </w:rPr>
            </w:pPr>
          </w:p>
        </w:tc>
      </w:tr>
      <w:tr w:rsidR="00D22C00" w:rsidRPr="00B5691E" w14:paraId="7D8B1CE7"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0E48C185" w14:textId="698F4006"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Process to identify Perinatal Mood and Anxiety Disorders (PMAD) and refer members to the appropriate health care providers throughout pregnancy and the postpartum period, referring to a Perinatal Mental Health Certified (PMH-C) behavioral health provider when possible.</w:t>
            </w:r>
          </w:p>
        </w:tc>
        <w:tc>
          <w:tcPr>
            <w:tcW w:w="465" w:type="pct"/>
            <w:shd w:val="clear" w:color="auto" w:fill="FFFFFF" w:themeFill="background1"/>
            <w:vAlign w:val="center"/>
          </w:tcPr>
          <w:p w14:paraId="1834BF18"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3A93C2E7"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51A8E0D3"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56C5CE60" w14:textId="77777777" w:rsidR="00364D9D" w:rsidRPr="00B5691E" w:rsidRDefault="00364D9D" w:rsidP="007D7CAD">
            <w:pPr>
              <w:spacing w:after="240" w:line="276" w:lineRule="auto"/>
              <w:rPr>
                <w:rFonts w:ascii="Arial" w:hAnsi="Arial" w:cs="Arial"/>
                <w:sz w:val="22"/>
                <w:szCs w:val="22"/>
              </w:rPr>
            </w:pPr>
          </w:p>
        </w:tc>
      </w:tr>
      <w:tr w:rsidR="00D22C00" w:rsidRPr="00B5691E" w14:paraId="5710194E"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6AF74FDC" w14:textId="2E331200"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Process to inform Primary Care Provider (PCP</w:t>
            </w:r>
            <w:r w:rsidR="00A513BB" w:rsidRPr="00364D9D">
              <w:rPr>
                <w:rFonts w:ascii="Arial" w:hAnsi="Arial" w:cs="Arial"/>
                <w:bCs/>
                <w:sz w:val="22"/>
                <w:szCs w:val="22"/>
              </w:rPr>
              <w:t>), OB</w:t>
            </w:r>
            <w:r w:rsidRPr="00364D9D">
              <w:rPr>
                <w:rFonts w:ascii="Arial" w:hAnsi="Arial" w:cs="Arial"/>
                <w:bCs/>
                <w:sz w:val="22"/>
                <w:szCs w:val="22"/>
              </w:rPr>
              <w:t xml:space="preserve">/GYN providers and family planning providers of the availability of women’s preventive care and family planning services and supplies detailing all the covered services in AMPM Policy 411 and AMPM Policy 420.  Monitor provider compliance of </w:t>
            </w:r>
            <w:r w:rsidRPr="00364D9D">
              <w:rPr>
                <w:rFonts w:ascii="Arial" w:hAnsi="Arial" w:cs="Arial"/>
                <w:bCs/>
                <w:sz w:val="22"/>
                <w:szCs w:val="22"/>
              </w:rPr>
              <w:lastRenderedPageBreak/>
              <w:t>delivering women’s preventive care and family planning services and supplies.</w:t>
            </w:r>
          </w:p>
        </w:tc>
        <w:tc>
          <w:tcPr>
            <w:tcW w:w="465" w:type="pct"/>
            <w:shd w:val="clear" w:color="auto" w:fill="FFFFFF" w:themeFill="background1"/>
            <w:vAlign w:val="center"/>
          </w:tcPr>
          <w:p w14:paraId="2CBF92C6"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4C6E867A"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4729DA46"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2BA7951C" w14:textId="77777777" w:rsidR="00364D9D" w:rsidRPr="00B5691E" w:rsidRDefault="00364D9D" w:rsidP="007D7CAD">
            <w:pPr>
              <w:spacing w:after="240" w:line="276" w:lineRule="auto"/>
              <w:rPr>
                <w:rFonts w:ascii="Arial" w:hAnsi="Arial" w:cs="Arial"/>
                <w:sz w:val="22"/>
                <w:szCs w:val="22"/>
              </w:rPr>
            </w:pPr>
          </w:p>
        </w:tc>
      </w:tr>
      <w:tr w:rsidR="00D22C00" w:rsidRPr="00B5691E" w14:paraId="26DDC045"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137DDECF" w14:textId="6911FBCF"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Process to implement an outreach program to notify members of specific covered women’s preventive care services available to them per AMPM Policy 411 and implement interventions to improve women’s participation in preventive services.</w:t>
            </w:r>
          </w:p>
        </w:tc>
        <w:tc>
          <w:tcPr>
            <w:tcW w:w="465" w:type="pct"/>
            <w:shd w:val="clear" w:color="auto" w:fill="FFFFFF" w:themeFill="background1"/>
            <w:vAlign w:val="center"/>
          </w:tcPr>
          <w:p w14:paraId="5ED97514"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576D5DDA"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19B64904"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011BE99C" w14:textId="77777777" w:rsidR="00364D9D" w:rsidRPr="00B5691E" w:rsidRDefault="00364D9D" w:rsidP="007D7CAD">
            <w:pPr>
              <w:spacing w:after="240" w:line="276" w:lineRule="auto"/>
              <w:rPr>
                <w:rFonts w:ascii="Arial" w:hAnsi="Arial" w:cs="Arial"/>
                <w:sz w:val="22"/>
                <w:szCs w:val="22"/>
              </w:rPr>
            </w:pPr>
          </w:p>
        </w:tc>
      </w:tr>
      <w:tr w:rsidR="00D22C00" w:rsidRPr="00B5691E" w14:paraId="0228C9BD"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73EEA3CA" w14:textId="21374BDD"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Process to implement an outreach program to notify members of covered maternity care services and educational topics as specified in AMPM Exhibit 400-3 and AMPM Policy 410</w:t>
            </w:r>
            <w:r>
              <w:rPr>
                <w:rFonts w:ascii="Arial" w:hAnsi="Arial" w:cs="Arial"/>
                <w:bCs/>
                <w:sz w:val="22"/>
                <w:szCs w:val="22"/>
              </w:rPr>
              <w:t>.</w:t>
            </w:r>
          </w:p>
        </w:tc>
        <w:tc>
          <w:tcPr>
            <w:tcW w:w="465" w:type="pct"/>
            <w:shd w:val="clear" w:color="auto" w:fill="FFFFFF" w:themeFill="background1"/>
            <w:vAlign w:val="center"/>
          </w:tcPr>
          <w:p w14:paraId="250E6955"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34EB998D"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4D6E8E7D"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255D2A34" w14:textId="77777777" w:rsidR="00364D9D" w:rsidRPr="00B5691E" w:rsidRDefault="00364D9D" w:rsidP="007D7CAD">
            <w:pPr>
              <w:spacing w:after="240" w:line="276" w:lineRule="auto"/>
              <w:rPr>
                <w:rFonts w:ascii="Arial" w:hAnsi="Arial" w:cs="Arial"/>
                <w:sz w:val="22"/>
                <w:szCs w:val="22"/>
              </w:rPr>
            </w:pPr>
          </w:p>
        </w:tc>
      </w:tr>
      <w:tr w:rsidR="00D22C00" w:rsidRPr="00B5691E" w14:paraId="4D7BBE29" w14:textId="77777777" w:rsidTr="00D22C00">
        <w:tblPrEx>
          <w:tblLook w:val="0000" w:firstRow="0" w:lastRow="0" w:firstColumn="0" w:lastColumn="0" w:noHBand="0" w:noVBand="0"/>
        </w:tblPrEx>
        <w:trPr>
          <w:cantSplit/>
          <w:trHeight w:val="812"/>
        </w:trPr>
        <w:tc>
          <w:tcPr>
            <w:tcW w:w="2792" w:type="pct"/>
            <w:shd w:val="clear" w:color="auto" w:fill="FFFFFF" w:themeFill="background1"/>
          </w:tcPr>
          <w:p w14:paraId="3AC07EDA" w14:textId="239E491C" w:rsidR="00364D9D" w:rsidRPr="00364D9D" w:rsidRDefault="00364D9D" w:rsidP="007D7CAD">
            <w:pPr>
              <w:numPr>
                <w:ilvl w:val="1"/>
                <w:numId w:val="20"/>
              </w:numPr>
              <w:spacing w:after="240" w:line="276" w:lineRule="auto"/>
              <w:jc w:val="both"/>
              <w:rPr>
                <w:rFonts w:ascii="Arial" w:hAnsi="Arial" w:cs="Arial"/>
                <w:bCs/>
                <w:sz w:val="22"/>
                <w:szCs w:val="22"/>
              </w:rPr>
            </w:pPr>
            <w:r w:rsidRPr="00364D9D">
              <w:rPr>
                <w:rFonts w:ascii="Arial" w:hAnsi="Arial" w:cs="Arial"/>
                <w:bCs/>
                <w:sz w:val="22"/>
                <w:szCs w:val="22"/>
              </w:rPr>
              <w:t>Process to monitor and evaluate maternity care practices that support breastfeeding recommendations and education per ACOG and American Academy of Pediatrics (AAP), including referrals to ADHS 24/7 Breastfeeding Hotline and WIC, and informing members how they can receive a breast pump from the Contractor.</w:t>
            </w:r>
          </w:p>
        </w:tc>
        <w:tc>
          <w:tcPr>
            <w:tcW w:w="465" w:type="pct"/>
            <w:shd w:val="clear" w:color="auto" w:fill="FFFFFF" w:themeFill="background1"/>
            <w:vAlign w:val="center"/>
          </w:tcPr>
          <w:p w14:paraId="05CF41BF" w14:textId="77777777" w:rsidR="00364D9D" w:rsidRPr="00B5691E" w:rsidRDefault="00364D9D" w:rsidP="007D7CAD">
            <w:pPr>
              <w:spacing w:after="240" w:line="276" w:lineRule="auto"/>
              <w:rPr>
                <w:rFonts w:ascii="Arial" w:hAnsi="Arial" w:cs="Arial"/>
                <w:sz w:val="22"/>
                <w:szCs w:val="22"/>
              </w:rPr>
            </w:pPr>
          </w:p>
        </w:tc>
        <w:tc>
          <w:tcPr>
            <w:tcW w:w="237" w:type="pct"/>
            <w:shd w:val="clear" w:color="auto" w:fill="FFFFFF" w:themeFill="background1"/>
            <w:vAlign w:val="center"/>
          </w:tcPr>
          <w:p w14:paraId="7B19F9F9" w14:textId="77777777" w:rsidR="00364D9D" w:rsidRPr="00B5691E" w:rsidRDefault="00364D9D" w:rsidP="007D7CAD">
            <w:pPr>
              <w:spacing w:after="240" w:line="276" w:lineRule="auto"/>
              <w:rPr>
                <w:rFonts w:ascii="Arial" w:hAnsi="Arial" w:cs="Arial"/>
                <w:sz w:val="22"/>
                <w:szCs w:val="22"/>
              </w:rPr>
            </w:pPr>
          </w:p>
        </w:tc>
        <w:tc>
          <w:tcPr>
            <w:tcW w:w="199" w:type="pct"/>
            <w:shd w:val="clear" w:color="auto" w:fill="FFFFFF" w:themeFill="background1"/>
            <w:vAlign w:val="center"/>
          </w:tcPr>
          <w:p w14:paraId="2E97D180" w14:textId="77777777" w:rsidR="00364D9D" w:rsidRPr="00B5691E" w:rsidRDefault="00364D9D" w:rsidP="007D7CAD">
            <w:pPr>
              <w:spacing w:after="240" w:line="276" w:lineRule="auto"/>
              <w:rPr>
                <w:rFonts w:ascii="Arial" w:hAnsi="Arial" w:cs="Arial"/>
                <w:sz w:val="22"/>
                <w:szCs w:val="22"/>
              </w:rPr>
            </w:pPr>
          </w:p>
        </w:tc>
        <w:tc>
          <w:tcPr>
            <w:tcW w:w="1307" w:type="pct"/>
            <w:shd w:val="clear" w:color="auto" w:fill="FFFFFF" w:themeFill="background1"/>
            <w:vAlign w:val="center"/>
          </w:tcPr>
          <w:p w14:paraId="114CE1B6" w14:textId="77777777" w:rsidR="00364D9D" w:rsidRPr="00B5691E" w:rsidRDefault="00364D9D" w:rsidP="007D7CAD">
            <w:pPr>
              <w:spacing w:after="240" w:line="276" w:lineRule="auto"/>
              <w:rPr>
                <w:rFonts w:ascii="Arial" w:hAnsi="Arial" w:cs="Arial"/>
                <w:sz w:val="22"/>
                <w:szCs w:val="22"/>
              </w:rPr>
            </w:pPr>
          </w:p>
        </w:tc>
      </w:tr>
    </w:tbl>
    <w:p w14:paraId="17A1816B" w14:textId="0E944AB4" w:rsidR="006F5175" w:rsidRPr="00F04030" w:rsidRDefault="006F5175" w:rsidP="007D7CAD">
      <w:pPr>
        <w:spacing w:line="276" w:lineRule="auto"/>
        <w:rPr>
          <w:rFonts w:ascii="Arial" w:hAnsi="Arial" w:cs="Arial"/>
          <w:sz w:val="22"/>
          <w:szCs w:val="22"/>
        </w:rPr>
      </w:pPr>
    </w:p>
    <w:p w14:paraId="7EC5511A" w14:textId="77777777" w:rsidR="00F04030" w:rsidRPr="00F04030" w:rsidRDefault="00F04030" w:rsidP="007D7CAD">
      <w:pPr>
        <w:spacing w:line="276" w:lineRule="auto"/>
        <w:rPr>
          <w:rFonts w:ascii="Arial" w:hAnsi="Arial" w:cs="Arial"/>
          <w:sz w:val="22"/>
          <w:szCs w:val="22"/>
        </w:rPr>
      </w:pPr>
    </w:p>
    <w:p w14:paraId="365CB7AD" w14:textId="77777777" w:rsidR="00F04030" w:rsidRPr="00F04030" w:rsidRDefault="00F04030" w:rsidP="007D7CAD">
      <w:pPr>
        <w:spacing w:line="276" w:lineRule="auto"/>
        <w:rPr>
          <w:rFonts w:ascii="Arial" w:hAnsi="Arial" w:cs="Arial"/>
          <w:sz w:val="22"/>
          <w:szCs w:val="22"/>
        </w:rPr>
      </w:pPr>
    </w:p>
    <w:p w14:paraId="594389CD" w14:textId="77777777" w:rsidR="00F04030" w:rsidRPr="00F04030" w:rsidRDefault="00F04030" w:rsidP="007D7CAD">
      <w:pPr>
        <w:spacing w:line="276" w:lineRule="auto"/>
        <w:rPr>
          <w:rFonts w:ascii="Arial" w:hAnsi="Arial" w:cs="Arial"/>
          <w:sz w:val="22"/>
          <w:szCs w:val="22"/>
        </w:rPr>
      </w:pPr>
    </w:p>
    <w:p w14:paraId="19D5D479" w14:textId="77777777" w:rsidR="00F04030" w:rsidRDefault="00F04030" w:rsidP="007D7CAD">
      <w:pPr>
        <w:spacing w:line="276" w:lineRule="auto"/>
        <w:rPr>
          <w:rFonts w:ascii="Arial" w:hAnsi="Arial" w:cs="Arial"/>
          <w:sz w:val="22"/>
          <w:szCs w:val="22"/>
        </w:rPr>
      </w:pPr>
    </w:p>
    <w:tbl>
      <w:tblPr>
        <w:tblpPr w:leftFromText="187" w:rightFromText="187" w:vertAnchor="text" w:tblpX="265" w:tblpY="1"/>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104"/>
        <w:gridCol w:w="1173"/>
        <w:gridCol w:w="631"/>
        <w:gridCol w:w="539"/>
        <w:gridCol w:w="3275"/>
      </w:tblGrid>
      <w:tr w:rsidR="00D22C00" w:rsidRPr="00B5691E" w14:paraId="6EF98247" w14:textId="77777777" w:rsidTr="00D22C00">
        <w:trPr>
          <w:cantSplit/>
          <w:trHeight w:val="627"/>
          <w:tblHeader/>
        </w:trPr>
        <w:tc>
          <w:tcPr>
            <w:tcW w:w="2792" w:type="pct"/>
            <w:shd w:val="clear" w:color="auto" w:fill="BFBFBF" w:themeFill="background1" w:themeFillShade="BF"/>
          </w:tcPr>
          <w:p w14:paraId="32D8CE4D" w14:textId="7CA41823" w:rsidR="00364D9D" w:rsidRPr="00B5691E" w:rsidRDefault="00364D9D" w:rsidP="007D7CAD">
            <w:pPr>
              <w:spacing w:after="200" w:line="276" w:lineRule="auto"/>
              <w:jc w:val="center"/>
              <w:rPr>
                <w:rFonts w:ascii="Arial" w:hAnsi="Arial" w:cs="Arial"/>
                <w:b/>
                <w:sz w:val="22"/>
                <w:szCs w:val="22"/>
              </w:rPr>
            </w:pPr>
            <w:r>
              <w:rPr>
                <w:rFonts w:ascii="Arial" w:hAnsi="Arial" w:cs="Arial"/>
                <w:b/>
                <w:sz w:val="22"/>
                <w:szCs w:val="22"/>
              </w:rPr>
              <w:lastRenderedPageBreak/>
              <w:t>Maternity and Family Planning Services and Supplies Work Plan Evaluation</w:t>
            </w:r>
          </w:p>
        </w:tc>
        <w:tc>
          <w:tcPr>
            <w:tcW w:w="461" w:type="pct"/>
            <w:shd w:val="clear" w:color="auto" w:fill="BFBFBF" w:themeFill="background1" w:themeFillShade="BF"/>
          </w:tcPr>
          <w:p w14:paraId="426F3039" w14:textId="77777777" w:rsidR="00364D9D" w:rsidRPr="00B5691E" w:rsidRDefault="00364D9D" w:rsidP="007D7CAD">
            <w:pPr>
              <w:spacing w:line="276" w:lineRule="auto"/>
              <w:jc w:val="center"/>
              <w:rPr>
                <w:rFonts w:ascii="Arial" w:hAnsi="Arial" w:cs="Arial"/>
                <w:b/>
                <w:sz w:val="22"/>
                <w:szCs w:val="22"/>
              </w:rPr>
            </w:pPr>
            <w:r w:rsidRPr="00B5691E">
              <w:rPr>
                <w:rFonts w:ascii="Arial" w:hAnsi="Arial" w:cs="Arial"/>
                <w:b/>
                <w:sz w:val="22"/>
                <w:szCs w:val="22"/>
              </w:rPr>
              <w:t>Found on page</w:t>
            </w:r>
            <w:r>
              <w:rPr>
                <w:rFonts w:ascii="Arial" w:hAnsi="Arial" w:cs="Arial"/>
                <w:b/>
                <w:sz w:val="22"/>
              </w:rPr>
              <w:t>:</w:t>
            </w:r>
          </w:p>
        </w:tc>
        <w:tc>
          <w:tcPr>
            <w:tcW w:w="248" w:type="pct"/>
            <w:shd w:val="clear" w:color="auto" w:fill="BFBFBF" w:themeFill="background1" w:themeFillShade="BF"/>
          </w:tcPr>
          <w:p w14:paraId="3E99C2CA" w14:textId="77777777" w:rsidR="00364D9D" w:rsidRPr="00B5691E" w:rsidRDefault="00364D9D" w:rsidP="007D7CAD">
            <w:pPr>
              <w:spacing w:after="200" w:line="276" w:lineRule="auto"/>
              <w:jc w:val="center"/>
              <w:rPr>
                <w:rFonts w:ascii="Arial" w:hAnsi="Arial" w:cs="Arial"/>
                <w:b/>
                <w:sz w:val="22"/>
                <w:szCs w:val="22"/>
              </w:rPr>
            </w:pPr>
            <w:r w:rsidRPr="00B5691E">
              <w:rPr>
                <w:rFonts w:ascii="Arial" w:hAnsi="Arial" w:cs="Arial"/>
                <w:b/>
                <w:sz w:val="22"/>
                <w:szCs w:val="22"/>
              </w:rPr>
              <w:t>Yes</w:t>
            </w:r>
          </w:p>
        </w:tc>
        <w:tc>
          <w:tcPr>
            <w:tcW w:w="212" w:type="pct"/>
            <w:shd w:val="clear" w:color="auto" w:fill="BFBFBF" w:themeFill="background1" w:themeFillShade="BF"/>
          </w:tcPr>
          <w:p w14:paraId="2BD28F2F" w14:textId="77777777" w:rsidR="00364D9D" w:rsidRPr="00B5691E" w:rsidRDefault="00364D9D" w:rsidP="007D7CAD">
            <w:pPr>
              <w:spacing w:after="200" w:line="276" w:lineRule="auto"/>
              <w:jc w:val="center"/>
              <w:rPr>
                <w:rFonts w:ascii="Arial" w:hAnsi="Arial" w:cs="Arial"/>
                <w:b/>
                <w:sz w:val="22"/>
                <w:szCs w:val="22"/>
              </w:rPr>
            </w:pPr>
            <w:r w:rsidRPr="00B5691E">
              <w:rPr>
                <w:rFonts w:ascii="Arial" w:hAnsi="Arial" w:cs="Arial"/>
                <w:b/>
                <w:sz w:val="22"/>
                <w:szCs w:val="22"/>
              </w:rPr>
              <w:t>No</w:t>
            </w:r>
          </w:p>
        </w:tc>
        <w:tc>
          <w:tcPr>
            <w:tcW w:w="1287" w:type="pct"/>
            <w:shd w:val="clear" w:color="auto" w:fill="BFBFBF" w:themeFill="background1" w:themeFillShade="BF"/>
          </w:tcPr>
          <w:p w14:paraId="47CBC2B5" w14:textId="77777777" w:rsidR="00364D9D" w:rsidRPr="00B5691E" w:rsidRDefault="00364D9D" w:rsidP="007D7CAD">
            <w:pPr>
              <w:spacing w:after="200" w:line="276" w:lineRule="auto"/>
              <w:jc w:val="center"/>
              <w:rPr>
                <w:rFonts w:ascii="Arial" w:hAnsi="Arial" w:cs="Arial"/>
                <w:b/>
                <w:sz w:val="22"/>
                <w:szCs w:val="22"/>
              </w:rPr>
            </w:pPr>
            <w:r w:rsidRPr="00B5691E">
              <w:rPr>
                <w:rFonts w:ascii="Arial" w:hAnsi="Arial" w:cs="Arial"/>
                <w:b/>
                <w:sz w:val="22"/>
                <w:szCs w:val="22"/>
              </w:rPr>
              <w:t>Explanation of “No” answer/Reviewer comments</w:t>
            </w:r>
          </w:p>
        </w:tc>
      </w:tr>
      <w:tr w:rsidR="00D22C00" w:rsidRPr="00B5691E" w14:paraId="2A83EF4E" w14:textId="77777777" w:rsidTr="00D22C00">
        <w:tblPrEx>
          <w:tblLook w:val="0000" w:firstRow="0" w:lastRow="0" w:firstColumn="0" w:lastColumn="0" w:noHBand="0" w:noVBand="0"/>
        </w:tblPrEx>
        <w:trPr>
          <w:cantSplit/>
          <w:trHeight w:val="3321"/>
        </w:trPr>
        <w:tc>
          <w:tcPr>
            <w:tcW w:w="2792" w:type="pct"/>
            <w:shd w:val="clear" w:color="auto" w:fill="FFFFFF" w:themeFill="background1"/>
          </w:tcPr>
          <w:p w14:paraId="288C3898" w14:textId="77777777" w:rsidR="00364D9D" w:rsidRPr="00F04030" w:rsidRDefault="00364D9D" w:rsidP="007D7CAD">
            <w:pPr>
              <w:numPr>
                <w:ilvl w:val="0"/>
                <w:numId w:val="24"/>
              </w:numPr>
              <w:spacing w:line="276" w:lineRule="auto"/>
              <w:jc w:val="both"/>
              <w:rPr>
                <w:rFonts w:ascii="Arial" w:hAnsi="Arial" w:cs="Arial"/>
                <w:sz w:val="22"/>
                <w:szCs w:val="22"/>
              </w:rPr>
            </w:pPr>
            <w:r w:rsidRPr="00F04030">
              <w:rPr>
                <w:rFonts w:ascii="Arial" w:hAnsi="Arial" w:cs="Arial"/>
                <w:sz w:val="22"/>
                <w:szCs w:val="22"/>
              </w:rPr>
              <w:t>An evaluation and assessment that documents the effectiveness of maternity/family planning services and supplies program strategies, interventions, and activities directed at achieving healthy outcomes (report on the previous calendar year).  The evaluation shall include, but not be limited to:</w:t>
            </w:r>
          </w:p>
          <w:p w14:paraId="2663E787" w14:textId="77777777" w:rsidR="00364D9D" w:rsidRPr="00F04030" w:rsidRDefault="00364D9D" w:rsidP="007D7CAD">
            <w:pPr>
              <w:numPr>
                <w:ilvl w:val="1"/>
                <w:numId w:val="21"/>
              </w:numPr>
              <w:spacing w:line="276" w:lineRule="auto"/>
              <w:jc w:val="both"/>
              <w:rPr>
                <w:rFonts w:ascii="Arial" w:hAnsi="Arial" w:cs="Arial"/>
                <w:sz w:val="22"/>
                <w:szCs w:val="22"/>
              </w:rPr>
            </w:pPr>
            <w:r w:rsidRPr="00F04030">
              <w:rPr>
                <w:rFonts w:ascii="Arial" w:hAnsi="Arial" w:cs="Arial"/>
                <w:sz w:val="22"/>
                <w:szCs w:val="22"/>
              </w:rPr>
              <w:t xml:space="preserve">Raw data, including small numbers, (percentages and numerator/denominator for each Line of Business (LOB), </w:t>
            </w:r>
          </w:p>
          <w:p w14:paraId="7FA73678" w14:textId="77777777" w:rsidR="00364D9D" w:rsidRDefault="00364D9D" w:rsidP="007D7CAD">
            <w:pPr>
              <w:numPr>
                <w:ilvl w:val="1"/>
                <w:numId w:val="21"/>
              </w:numPr>
              <w:spacing w:line="276" w:lineRule="auto"/>
              <w:jc w:val="both"/>
              <w:rPr>
                <w:rFonts w:ascii="Arial" w:hAnsi="Arial" w:cs="Arial"/>
                <w:sz w:val="22"/>
                <w:szCs w:val="22"/>
              </w:rPr>
            </w:pPr>
            <w:r w:rsidRPr="00F04030">
              <w:rPr>
                <w:rFonts w:ascii="Arial" w:hAnsi="Arial" w:cs="Arial"/>
                <w:sz w:val="22"/>
                <w:szCs w:val="22"/>
              </w:rPr>
              <w:t xml:space="preserve">Results for each quarter of the effectiveness of monitoring including coordination of care efforts, follow-up activities, and other interventions made </w:t>
            </w:r>
            <w:proofErr w:type="gramStart"/>
            <w:r w:rsidRPr="00F04030">
              <w:rPr>
                <w:rFonts w:ascii="Arial" w:hAnsi="Arial" w:cs="Arial"/>
                <w:sz w:val="22"/>
                <w:szCs w:val="22"/>
              </w:rPr>
              <w:t>as a result of</w:t>
            </w:r>
            <w:proofErr w:type="gramEnd"/>
            <w:r w:rsidRPr="00F04030">
              <w:rPr>
                <w:rFonts w:ascii="Arial" w:hAnsi="Arial" w:cs="Arial"/>
                <w:sz w:val="22"/>
                <w:szCs w:val="22"/>
              </w:rPr>
              <w:t xml:space="preserve"> performance, </w:t>
            </w:r>
          </w:p>
          <w:p w14:paraId="7507C68A" w14:textId="18D006F2" w:rsidR="00364D9D" w:rsidRPr="00B5691E" w:rsidRDefault="00364D9D" w:rsidP="007D7CAD">
            <w:pPr>
              <w:numPr>
                <w:ilvl w:val="1"/>
                <w:numId w:val="21"/>
              </w:numPr>
              <w:spacing w:after="240" w:line="276" w:lineRule="auto"/>
              <w:jc w:val="both"/>
              <w:rPr>
                <w:rFonts w:ascii="Arial" w:hAnsi="Arial" w:cs="Arial"/>
                <w:sz w:val="22"/>
                <w:szCs w:val="22"/>
              </w:rPr>
            </w:pPr>
            <w:r w:rsidRPr="00F04030">
              <w:rPr>
                <w:rFonts w:ascii="Arial" w:hAnsi="Arial" w:cs="Arial"/>
                <w:sz w:val="22"/>
                <w:szCs w:val="22"/>
              </w:rPr>
              <w:t xml:space="preserve">A summary of the year-end outcome, including </w:t>
            </w:r>
            <w:proofErr w:type="gramStart"/>
            <w:r w:rsidRPr="00F04030">
              <w:rPr>
                <w:rFonts w:ascii="Arial" w:hAnsi="Arial" w:cs="Arial"/>
                <w:sz w:val="22"/>
                <w:szCs w:val="22"/>
              </w:rPr>
              <w:t>whether or not</w:t>
            </w:r>
            <w:proofErr w:type="gramEnd"/>
            <w:r w:rsidRPr="00F04030">
              <w:rPr>
                <w:rFonts w:ascii="Arial" w:hAnsi="Arial" w:cs="Arial"/>
                <w:sz w:val="22"/>
                <w:szCs w:val="22"/>
              </w:rPr>
              <w:t xml:space="preserve"> goals and objectives were met, identified challenges/barriers to meeting goals, and identified opportunities for improvement.</w:t>
            </w:r>
          </w:p>
        </w:tc>
        <w:tc>
          <w:tcPr>
            <w:tcW w:w="461" w:type="pct"/>
            <w:shd w:val="clear" w:color="auto" w:fill="FFFFFF" w:themeFill="background1"/>
            <w:vAlign w:val="center"/>
          </w:tcPr>
          <w:p w14:paraId="465899F0" w14:textId="77777777" w:rsidR="00364D9D" w:rsidRPr="00B5691E" w:rsidRDefault="00364D9D" w:rsidP="007D7CAD">
            <w:pPr>
              <w:spacing w:after="200" w:line="276" w:lineRule="auto"/>
              <w:rPr>
                <w:rFonts w:ascii="Arial" w:hAnsi="Arial" w:cs="Arial"/>
                <w:sz w:val="22"/>
                <w:szCs w:val="22"/>
              </w:rPr>
            </w:pPr>
          </w:p>
        </w:tc>
        <w:tc>
          <w:tcPr>
            <w:tcW w:w="248" w:type="pct"/>
            <w:shd w:val="clear" w:color="auto" w:fill="FFFFFF" w:themeFill="background1"/>
            <w:vAlign w:val="center"/>
          </w:tcPr>
          <w:p w14:paraId="50166520" w14:textId="77777777" w:rsidR="00364D9D" w:rsidRPr="00B5691E" w:rsidRDefault="00364D9D" w:rsidP="007D7CAD">
            <w:pPr>
              <w:spacing w:after="200" w:line="276" w:lineRule="auto"/>
              <w:rPr>
                <w:rFonts w:ascii="Arial" w:hAnsi="Arial" w:cs="Arial"/>
                <w:sz w:val="22"/>
                <w:szCs w:val="22"/>
              </w:rPr>
            </w:pPr>
          </w:p>
        </w:tc>
        <w:tc>
          <w:tcPr>
            <w:tcW w:w="212" w:type="pct"/>
            <w:shd w:val="clear" w:color="auto" w:fill="FFFFFF" w:themeFill="background1"/>
            <w:vAlign w:val="center"/>
          </w:tcPr>
          <w:p w14:paraId="06326DC5" w14:textId="77777777" w:rsidR="00364D9D" w:rsidRPr="00B5691E" w:rsidRDefault="00364D9D" w:rsidP="007D7CAD">
            <w:pPr>
              <w:spacing w:after="200" w:line="276" w:lineRule="auto"/>
              <w:rPr>
                <w:rFonts w:ascii="Arial" w:hAnsi="Arial" w:cs="Arial"/>
                <w:sz w:val="22"/>
                <w:szCs w:val="22"/>
              </w:rPr>
            </w:pPr>
          </w:p>
        </w:tc>
        <w:tc>
          <w:tcPr>
            <w:tcW w:w="1287" w:type="pct"/>
            <w:shd w:val="clear" w:color="auto" w:fill="FFFFFF" w:themeFill="background1"/>
            <w:vAlign w:val="center"/>
          </w:tcPr>
          <w:p w14:paraId="57A9DCAE" w14:textId="77777777" w:rsidR="00364D9D" w:rsidRPr="00B5691E" w:rsidRDefault="00364D9D" w:rsidP="007D7CAD">
            <w:pPr>
              <w:spacing w:after="200" w:line="276" w:lineRule="auto"/>
              <w:rPr>
                <w:rFonts w:ascii="Arial" w:hAnsi="Arial" w:cs="Arial"/>
                <w:sz w:val="22"/>
                <w:szCs w:val="22"/>
              </w:rPr>
            </w:pPr>
          </w:p>
        </w:tc>
      </w:tr>
    </w:tbl>
    <w:p w14:paraId="1C3594CE" w14:textId="77777777" w:rsidR="00364D9D" w:rsidRDefault="00364D9D" w:rsidP="007D7CAD">
      <w:pPr>
        <w:spacing w:line="276" w:lineRule="auto"/>
        <w:rPr>
          <w:rFonts w:ascii="Arial" w:hAnsi="Arial" w:cs="Arial"/>
          <w:sz w:val="22"/>
          <w:szCs w:val="22"/>
        </w:rPr>
      </w:pPr>
    </w:p>
    <w:p w14:paraId="043820CE" w14:textId="77777777" w:rsidR="00D22C00" w:rsidRDefault="00D22C00" w:rsidP="007D7CAD">
      <w:pPr>
        <w:spacing w:line="276" w:lineRule="auto"/>
        <w:rPr>
          <w:rFonts w:ascii="Arial" w:hAnsi="Arial" w:cs="Arial"/>
          <w:sz w:val="22"/>
          <w:szCs w:val="22"/>
        </w:rPr>
      </w:pPr>
    </w:p>
    <w:p w14:paraId="1612349F" w14:textId="77777777" w:rsidR="00D22C00" w:rsidRDefault="00D22C00" w:rsidP="007D7CAD">
      <w:pPr>
        <w:spacing w:line="276" w:lineRule="auto"/>
        <w:rPr>
          <w:rFonts w:ascii="Arial" w:hAnsi="Arial" w:cs="Arial"/>
          <w:sz w:val="22"/>
          <w:szCs w:val="22"/>
        </w:rPr>
      </w:pPr>
    </w:p>
    <w:p w14:paraId="72BAE459" w14:textId="77777777" w:rsidR="00D22C00" w:rsidRDefault="00D22C00" w:rsidP="007D7CAD">
      <w:pPr>
        <w:spacing w:line="276" w:lineRule="auto"/>
        <w:rPr>
          <w:rFonts w:ascii="Arial" w:hAnsi="Arial" w:cs="Arial"/>
          <w:sz w:val="22"/>
          <w:szCs w:val="22"/>
        </w:rPr>
      </w:pPr>
    </w:p>
    <w:p w14:paraId="06D5638A" w14:textId="77777777" w:rsidR="00D22C00" w:rsidRDefault="00D22C00" w:rsidP="007D7CAD">
      <w:pPr>
        <w:spacing w:line="276" w:lineRule="auto"/>
        <w:rPr>
          <w:rFonts w:ascii="Arial" w:hAnsi="Arial" w:cs="Arial"/>
          <w:sz w:val="22"/>
          <w:szCs w:val="22"/>
        </w:rPr>
      </w:pPr>
    </w:p>
    <w:p w14:paraId="2E521599" w14:textId="77777777" w:rsidR="00D22C00" w:rsidRDefault="00D22C00" w:rsidP="007D7CAD">
      <w:pPr>
        <w:spacing w:line="276" w:lineRule="auto"/>
        <w:rPr>
          <w:rFonts w:ascii="Arial" w:hAnsi="Arial" w:cs="Arial"/>
          <w:sz w:val="22"/>
          <w:szCs w:val="22"/>
        </w:rPr>
      </w:pPr>
    </w:p>
    <w:p w14:paraId="65C59501" w14:textId="77777777" w:rsidR="00D22C00" w:rsidRDefault="00D22C00" w:rsidP="007D7CAD">
      <w:pPr>
        <w:spacing w:line="276" w:lineRule="auto"/>
        <w:rPr>
          <w:rFonts w:ascii="Arial" w:hAnsi="Arial" w:cs="Arial"/>
          <w:sz w:val="22"/>
          <w:szCs w:val="22"/>
        </w:rPr>
      </w:pPr>
    </w:p>
    <w:p w14:paraId="609366D7" w14:textId="77777777" w:rsidR="00D22C00" w:rsidRDefault="00D22C00" w:rsidP="007D7CAD">
      <w:pPr>
        <w:spacing w:line="276" w:lineRule="auto"/>
        <w:rPr>
          <w:rFonts w:ascii="Arial" w:hAnsi="Arial" w:cs="Arial"/>
          <w:sz w:val="22"/>
          <w:szCs w:val="22"/>
        </w:rPr>
      </w:pPr>
    </w:p>
    <w:p w14:paraId="1135D9A5" w14:textId="77777777" w:rsidR="00D22C00" w:rsidRDefault="00D22C00" w:rsidP="007D7CAD">
      <w:pPr>
        <w:spacing w:line="276" w:lineRule="auto"/>
        <w:rPr>
          <w:rFonts w:ascii="Arial" w:hAnsi="Arial" w:cs="Arial"/>
          <w:sz w:val="22"/>
          <w:szCs w:val="22"/>
        </w:rPr>
      </w:pPr>
    </w:p>
    <w:p w14:paraId="199DD181" w14:textId="77777777" w:rsidR="00364D9D" w:rsidRDefault="00364D9D" w:rsidP="007D7CAD">
      <w:pPr>
        <w:spacing w:line="276" w:lineRule="auto"/>
        <w:rPr>
          <w:rFonts w:ascii="Arial" w:hAnsi="Arial" w:cs="Arial"/>
          <w:sz w:val="22"/>
          <w:szCs w:val="22"/>
        </w:rPr>
      </w:pPr>
    </w:p>
    <w:tbl>
      <w:tblPr>
        <w:tblpPr w:leftFromText="187" w:rightFromText="187" w:vertAnchor="text" w:tblpX="265" w:tblpY="1"/>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105"/>
        <w:gridCol w:w="1170"/>
        <w:gridCol w:w="631"/>
        <w:gridCol w:w="539"/>
        <w:gridCol w:w="3277"/>
      </w:tblGrid>
      <w:tr w:rsidR="00D22C00" w:rsidRPr="00B5691E" w14:paraId="33260626" w14:textId="77777777" w:rsidTr="00D22C00">
        <w:trPr>
          <w:cantSplit/>
          <w:trHeight w:val="627"/>
          <w:tblHeader/>
        </w:trPr>
        <w:tc>
          <w:tcPr>
            <w:tcW w:w="2792" w:type="pct"/>
            <w:shd w:val="clear" w:color="auto" w:fill="BFBFBF" w:themeFill="background1" w:themeFillShade="BF"/>
            <w:vAlign w:val="center"/>
          </w:tcPr>
          <w:p w14:paraId="0B0A6DAC" w14:textId="53E6F78A" w:rsidR="00364D9D" w:rsidRPr="00B5691E" w:rsidRDefault="00364D9D" w:rsidP="007D7CAD">
            <w:pPr>
              <w:spacing w:line="276" w:lineRule="auto"/>
              <w:jc w:val="center"/>
              <w:rPr>
                <w:rFonts w:ascii="Arial" w:hAnsi="Arial" w:cs="Arial"/>
                <w:b/>
                <w:sz w:val="22"/>
                <w:szCs w:val="22"/>
              </w:rPr>
            </w:pPr>
            <w:r w:rsidRPr="00364D9D">
              <w:rPr>
                <w:rFonts w:ascii="Arial" w:hAnsi="Arial" w:cs="Arial"/>
                <w:b/>
                <w:sz w:val="22"/>
                <w:szCs w:val="22"/>
              </w:rPr>
              <w:lastRenderedPageBreak/>
              <w:t>Maternity and Family Planning Services and Supplies Work Plan</w:t>
            </w:r>
          </w:p>
        </w:tc>
        <w:tc>
          <w:tcPr>
            <w:tcW w:w="460" w:type="pct"/>
            <w:shd w:val="clear" w:color="auto" w:fill="BFBFBF" w:themeFill="background1" w:themeFillShade="BF"/>
            <w:vAlign w:val="center"/>
          </w:tcPr>
          <w:p w14:paraId="2A1E0D1F" w14:textId="77777777" w:rsidR="00364D9D" w:rsidRPr="00B5691E" w:rsidRDefault="00364D9D" w:rsidP="007D7CAD">
            <w:pPr>
              <w:spacing w:line="276" w:lineRule="auto"/>
              <w:jc w:val="center"/>
              <w:rPr>
                <w:rFonts w:ascii="Arial" w:hAnsi="Arial" w:cs="Arial"/>
                <w:b/>
                <w:sz w:val="22"/>
                <w:szCs w:val="22"/>
              </w:rPr>
            </w:pPr>
            <w:r w:rsidRPr="00B5691E">
              <w:rPr>
                <w:rFonts w:ascii="Arial" w:hAnsi="Arial" w:cs="Arial"/>
                <w:b/>
                <w:sz w:val="22"/>
                <w:szCs w:val="22"/>
              </w:rPr>
              <w:t>Found on page</w:t>
            </w:r>
            <w:r>
              <w:rPr>
                <w:rFonts w:ascii="Arial" w:hAnsi="Arial" w:cs="Arial"/>
                <w:b/>
                <w:sz w:val="22"/>
              </w:rPr>
              <w:t>:</w:t>
            </w:r>
          </w:p>
        </w:tc>
        <w:tc>
          <w:tcPr>
            <w:tcW w:w="248" w:type="pct"/>
            <w:shd w:val="clear" w:color="auto" w:fill="BFBFBF" w:themeFill="background1" w:themeFillShade="BF"/>
            <w:vAlign w:val="center"/>
          </w:tcPr>
          <w:p w14:paraId="5DEA1A1E" w14:textId="77777777" w:rsidR="00364D9D" w:rsidRPr="00B5691E" w:rsidRDefault="00364D9D" w:rsidP="007D7CAD">
            <w:pPr>
              <w:spacing w:line="276" w:lineRule="auto"/>
              <w:jc w:val="center"/>
              <w:rPr>
                <w:rFonts w:ascii="Arial" w:hAnsi="Arial" w:cs="Arial"/>
                <w:b/>
                <w:sz w:val="22"/>
                <w:szCs w:val="22"/>
              </w:rPr>
            </w:pPr>
            <w:r w:rsidRPr="00B5691E">
              <w:rPr>
                <w:rFonts w:ascii="Arial" w:hAnsi="Arial" w:cs="Arial"/>
                <w:b/>
                <w:sz w:val="22"/>
                <w:szCs w:val="22"/>
              </w:rPr>
              <w:t>Yes</w:t>
            </w:r>
          </w:p>
        </w:tc>
        <w:tc>
          <w:tcPr>
            <w:tcW w:w="212" w:type="pct"/>
            <w:shd w:val="clear" w:color="auto" w:fill="BFBFBF" w:themeFill="background1" w:themeFillShade="BF"/>
            <w:vAlign w:val="center"/>
          </w:tcPr>
          <w:p w14:paraId="78F8E6DF" w14:textId="77777777" w:rsidR="00364D9D" w:rsidRPr="00B5691E" w:rsidRDefault="00364D9D" w:rsidP="007D7CAD">
            <w:pPr>
              <w:spacing w:line="276" w:lineRule="auto"/>
              <w:jc w:val="center"/>
              <w:rPr>
                <w:rFonts w:ascii="Arial" w:hAnsi="Arial" w:cs="Arial"/>
                <w:b/>
                <w:sz w:val="22"/>
                <w:szCs w:val="22"/>
              </w:rPr>
            </w:pPr>
            <w:r w:rsidRPr="00B5691E">
              <w:rPr>
                <w:rFonts w:ascii="Arial" w:hAnsi="Arial" w:cs="Arial"/>
                <w:b/>
                <w:sz w:val="22"/>
                <w:szCs w:val="22"/>
              </w:rPr>
              <w:t>No</w:t>
            </w:r>
          </w:p>
        </w:tc>
        <w:tc>
          <w:tcPr>
            <w:tcW w:w="1288" w:type="pct"/>
            <w:shd w:val="clear" w:color="auto" w:fill="BFBFBF" w:themeFill="background1" w:themeFillShade="BF"/>
            <w:vAlign w:val="center"/>
          </w:tcPr>
          <w:p w14:paraId="7FBDE5CE" w14:textId="77777777" w:rsidR="00364D9D" w:rsidRPr="00B5691E" w:rsidRDefault="00364D9D" w:rsidP="007D7CAD">
            <w:pPr>
              <w:spacing w:line="276" w:lineRule="auto"/>
              <w:jc w:val="center"/>
              <w:rPr>
                <w:rFonts w:ascii="Arial" w:hAnsi="Arial" w:cs="Arial"/>
                <w:b/>
                <w:sz w:val="22"/>
                <w:szCs w:val="22"/>
              </w:rPr>
            </w:pPr>
            <w:r w:rsidRPr="00B5691E">
              <w:rPr>
                <w:rFonts w:ascii="Arial" w:hAnsi="Arial" w:cs="Arial"/>
                <w:b/>
                <w:sz w:val="22"/>
                <w:szCs w:val="22"/>
              </w:rPr>
              <w:t>Explanation of “No” answer/Reviewer comments</w:t>
            </w:r>
          </w:p>
        </w:tc>
      </w:tr>
      <w:tr w:rsidR="00D22C00" w:rsidRPr="00B5691E" w14:paraId="3677E7BE" w14:textId="77777777" w:rsidTr="00D22C00">
        <w:tblPrEx>
          <w:tblLook w:val="0000" w:firstRow="0" w:lastRow="0" w:firstColumn="0" w:lastColumn="0" w:noHBand="0" w:noVBand="0"/>
        </w:tblPrEx>
        <w:trPr>
          <w:cantSplit/>
          <w:trHeight w:val="542"/>
        </w:trPr>
        <w:tc>
          <w:tcPr>
            <w:tcW w:w="2792" w:type="pct"/>
            <w:shd w:val="clear" w:color="auto" w:fill="FFFFFF" w:themeFill="background1"/>
          </w:tcPr>
          <w:p w14:paraId="54C6B273" w14:textId="2F20CD5F" w:rsidR="00364D9D" w:rsidRPr="00364D9D" w:rsidRDefault="00364D9D" w:rsidP="007D7CAD">
            <w:pPr>
              <w:numPr>
                <w:ilvl w:val="0"/>
                <w:numId w:val="25"/>
              </w:numPr>
              <w:spacing w:after="200" w:line="276" w:lineRule="auto"/>
              <w:jc w:val="both"/>
              <w:rPr>
                <w:rFonts w:ascii="Arial" w:hAnsi="Arial" w:cs="Arial"/>
                <w:sz w:val="22"/>
                <w:szCs w:val="22"/>
              </w:rPr>
            </w:pPr>
            <w:r w:rsidRPr="00F04030">
              <w:rPr>
                <w:rFonts w:ascii="Arial" w:hAnsi="Arial" w:cs="Arial"/>
                <w:sz w:val="22"/>
                <w:szCs w:val="22"/>
              </w:rPr>
              <w:t xml:space="preserve">A work plan that formally documents the Maternity and Family Planning program objectives, strategies and activities and demonstrates how these activities will improve the quality of services, the continuum of care, and health care outcomes directed at achieving optimal birth outcomes, as based on the Contractor requirements outlined in the Maternity and Family Planning Services and Supplies </w:t>
            </w:r>
            <w:r w:rsidRPr="00F04030">
              <w:rPr>
                <w:rFonts w:ascii="Arial" w:hAnsi="Arial" w:cs="Arial"/>
                <w:color w:val="202124"/>
                <w:sz w:val="22"/>
                <w:szCs w:val="22"/>
              </w:rPr>
              <w:t xml:space="preserve">and Women's Preventive care </w:t>
            </w:r>
            <w:r w:rsidRPr="00F04030">
              <w:rPr>
                <w:rFonts w:ascii="Arial" w:hAnsi="Arial" w:cs="Arial"/>
                <w:sz w:val="22"/>
                <w:szCs w:val="22"/>
              </w:rPr>
              <w:t>sections of AMPM Chapter 400.  The work plan shall be limited to at least three but not more than five distinct, numbered goals which may or may not include select performance measures from Contract.</w:t>
            </w:r>
            <w:r w:rsidRPr="00F04030">
              <w:rPr>
                <w:rFonts w:ascii="Arial" w:hAnsi="Arial" w:cs="Arial"/>
                <w:bCs/>
                <w:sz w:val="22"/>
                <w:szCs w:val="22"/>
              </w:rPr>
              <w:t xml:space="preserve"> Objectives shall be clearly numbered or lettered for ease of identification and review.   </w:t>
            </w:r>
            <w:r w:rsidRPr="00F04030">
              <w:rPr>
                <w:rFonts w:ascii="Arial" w:hAnsi="Arial" w:cs="Arial"/>
                <w:sz w:val="22"/>
                <w:szCs w:val="22"/>
              </w:rPr>
              <w:t xml:space="preserve"> </w:t>
            </w:r>
            <w:r w:rsidRPr="00F04030">
              <w:rPr>
                <w:rStyle w:val="normaltextrun"/>
                <w:rFonts w:ascii="Arial" w:hAnsi="Arial" w:cs="Arial"/>
                <w:color w:val="000000" w:themeColor="text1"/>
                <w:sz w:val="22"/>
                <w:szCs w:val="22"/>
              </w:rPr>
              <w:t xml:space="preserve"> If submitting a combined work plan, goals must be identified for each line of business.</w:t>
            </w:r>
          </w:p>
        </w:tc>
        <w:tc>
          <w:tcPr>
            <w:tcW w:w="460" w:type="pct"/>
            <w:shd w:val="clear" w:color="auto" w:fill="FFFFFF" w:themeFill="background1"/>
            <w:vAlign w:val="center"/>
          </w:tcPr>
          <w:p w14:paraId="65B8CD07" w14:textId="77777777" w:rsidR="00364D9D" w:rsidRPr="00B5691E" w:rsidRDefault="00364D9D" w:rsidP="007D7CAD">
            <w:pPr>
              <w:spacing w:after="200" w:line="276" w:lineRule="auto"/>
              <w:rPr>
                <w:rFonts w:ascii="Arial" w:hAnsi="Arial" w:cs="Arial"/>
                <w:sz w:val="22"/>
                <w:szCs w:val="22"/>
              </w:rPr>
            </w:pPr>
          </w:p>
        </w:tc>
        <w:tc>
          <w:tcPr>
            <w:tcW w:w="248" w:type="pct"/>
            <w:shd w:val="clear" w:color="auto" w:fill="FFFFFF" w:themeFill="background1"/>
            <w:vAlign w:val="center"/>
          </w:tcPr>
          <w:p w14:paraId="7D9E6AEB" w14:textId="77777777" w:rsidR="00364D9D" w:rsidRPr="00B5691E" w:rsidRDefault="00364D9D" w:rsidP="007D7CAD">
            <w:pPr>
              <w:spacing w:after="200" w:line="276" w:lineRule="auto"/>
              <w:rPr>
                <w:rFonts w:ascii="Arial" w:hAnsi="Arial" w:cs="Arial"/>
                <w:sz w:val="22"/>
                <w:szCs w:val="22"/>
              </w:rPr>
            </w:pPr>
          </w:p>
        </w:tc>
        <w:tc>
          <w:tcPr>
            <w:tcW w:w="212" w:type="pct"/>
            <w:shd w:val="clear" w:color="auto" w:fill="FFFFFF" w:themeFill="background1"/>
            <w:vAlign w:val="center"/>
          </w:tcPr>
          <w:p w14:paraId="4178B05C" w14:textId="77777777" w:rsidR="00364D9D" w:rsidRPr="00B5691E" w:rsidRDefault="00364D9D" w:rsidP="007D7CAD">
            <w:pPr>
              <w:spacing w:after="200" w:line="276" w:lineRule="auto"/>
              <w:rPr>
                <w:rFonts w:ascii="Arial" w:hAnsi="Arial" w:cs="Arial"/>
                <w:sz w:val="22"/>
                <w:szCs w:val="22"/>
              </w:rPr>
            </w:pPr>
          </w:p>
        </w:tc>
        <w:tc>
          <w:tcPr>
            <w:tcW w:w="1288" w:type="pct"/>
            <w:shd w:val="clear" w:color="auto" w:fill="FFFFFF" w:themeFill="background1"/>
            <w:vAlign w:val="center"/>
          </w:tcPr>
          <w:p w14:paraId="4E127DFB" w14:textId="77777777" w:rsidR="00364D9D" w:rsidRPr="00B5691E" w:rsidRDefault="00364D9D" w:rsidP="007D7CAD">
            <w:pPr>
              <w:spacing w:after="200" w:line="276" w:lineRule="auto"/>
              <w:rPr>
                <w:rFonts w:ascii="Arial" w:hAnsi="Arial" w:cs="Arial"/>
                <w:sz w:val="22"/>
                <w:szCs w:val="22"/>
              </w:rPr>
            </w:pPr>
          </w:p>
        </w:tc>
      </w:tr>
      <w:tr w:rsidR="00D22C00" w:rsidRPr="00B5691E" w14:paraId="63CB5B65" w14:textId="77777777" w:rsidTr="00D22C00">
        <w:tblPrEx>
          <w:tblLook w:val="0000" w:firstRow="0" w:lastRow="0" w:firstColumn="0" w:lastColumn="0" w:noHBand="0" w:noVBand="0"/>
        </w:tblPrEx>
        <w:trPr>
          <w:cantSplit/>
          <w:trHeight w:val="722"/>
        </w:trPr>
        <w:tc>
          <w:tcPr>
            <w:tcW w:w="2792" w:type="pct"/>
            <w:shd w:val="clear" w:color="auto" w:fill="FFFFFF" w:themeFill="background1"/>
          </w:tcPr>
          <w:p w14:paraId="24B177D6" w14:textId="19974C73" w:rsidR="00364D9D" w:rsidRPr="00B5691E" w:rsidRDefault="00364D9D" w:rsidP="007D7CAD">
            <w:pPr>
              <w:numPr>
                <w:ilvl w:val="1"/>
                <w:numId w:val="22"/>
              </w:numPr>
              <w:spacing w:after="200" w:line="276" w:lineRule="auto"/>
              <w:jc w:val="both"/>
              <w:rPr>
                <w:rFonts w:ascii="Arial" w:hAnsi="Arial" w:cs="Arial"/>
                <w:bCs/>
                <w:sz w:val="22"/>
                <w:szCs w:val="22"/>
              </w:rPr>
            </w:pPr>
            <w:r w:rsidRPr="00364D9D">
              <w:rPr>
                <w:rFonts w:ascii="Arial" w:hAnsi="Arial" w:cs="Arial"/>
                <w:bCs/>
                <w:sz w:val="22"/>
                <w:szCs w:val="22"/>
              </w:rPr>
              <w:t>Objectives shall include written descriptors and eligibility criteria as stated in the methodology of the measure being utilized. These objectives shall be based on minimum performance standards as specified in Contract.</w:t>
            </w:r>
          </w:p>
        </w:tc>
        <w:tc>
          <w:tcPr>
            <w:tcW w:w="460" w:type="pct"/>
            <w:shd w:val="clear" w:color="auto" w:fill="FFFFFF" w:themeFill="background1"/>
            <w:vAlign w:val="center"/>
          </w:tcPr>
          <w:p w14:paraId="474F1FB0" w14:textId="77777777" w:rsidR="00364D9D" w:rsidRPr="00B5691E" w:rsidRDefault="00364D9D" w:rsidP="007D7CAD">
            <w:pPr>
              <w:spacing w:after="200" w:line="276" w:lineRule="auto"/>
              <w:rPr>
                <w:rFonts w:ascii="Arial" w:hAnsi="Arial" w:cs="Arial"/>
                <w:sz w:val="22"/>
                <w:szCs w:val="22"/>
              </w:rPr>
            </w:pPr>
          </w:p>
        </w:tc>
        <w:tc>
          <w:tcPr>
            <w:tcW w:w="248" w:type="pct"/>
            <w:shd w:val="clear" w:color="auto" w:fill="FFFFFF" w:themeFill="background1"/>
            <w:vAlign w:val="center"/>
          </w:tcPr>
          <w:p w14:paraId="417F7FB3" w14:textId="77777777" w:rsidR="00364D9D" w:rsidRPr="00B5691E" w:rsidRDefault="00364D9D" w:rsidP="007D7CAD">
            <w:pPr>
              <w:spacing w:after="200" w:line="276" w:lineRule="auto"/>
              <w:rPr>
                <w:rFonts w:ascii="Arial" w:hAnsi="Arial" w:cs="Arial"/>
                <w:sz w:val="22"/>
                <w:szCs w:val="22"/>
              </w:rPr>
            </w:pPr>
          </w:p>
        </w:tc>
        <w:tc>
          <w:tcPr>
            <w:tcW w:w="212" w:type="pct"/>
            <w:shd w:val="clear" w:color="auto" w:fill="FFFFFF" w:themeFill="background1"/>
            <w:vAlign w:val="center"/>
          </w:tcPr>
          <w:p w14:paraId="5352CAEC" w14:textId="77777777" w:rsidR="00364D9D" w:rsidRPr="00B5691E" w:rsidRDefault="00364D9D" w:rsidP="007D7CAD">
            <w:pPr>
              <w:spacing w:after="200" w:line="276" w:lineRule="auto"/>
              <w:rPr>
                <w:rFonts w:ascii="Arial" w:hAnsi="Arial" w:cs="Arial"/>
                <w:sz w:val="22"/>
                <w:szCs w:val="22"/>
              </w:rPr>
            </w:pPr>
          </w:p>
        </w:tc>
        <w:tc>
          <w:tcPr>
            <w:tcW w:w="1288" w:type="pct"/>
            <w:shd w:val="clear" w:color="auto" w:fill="FFFFFF" w:themeFill="background1"/>
            <w:vAlign w:val="center"/>
          </w:tcPr>
          <w:p w14:paraId="2A3F91DC" w14:textId="77777777" w:rsidR="00364D9D" w:rsidRPr="00B5691E" w:rsidRDefault="00364D9D" w:rsidP="007D7CAD">
            <w:pPr>
              <w:spacing w:after="200" w:line="276" w:lineRule="auto"/>
              <w:rPr>
                <w:rFonts w:ascii="Arial" w:hAnsi="Arial" w:cs="Arial"/>
                <w:sz w:val="22"/>
                <w:szCs w:val="22"/>
              </w:rPr>
            </w:pPr>
          </w:p>
        </w:tc>
      </w:tr>
      <w:tr w:rsidR="00D22C00" w:rsidRPr="00B5691E" w14:paraId="6B7280C8" w14:textId="77777777" w:rsidTr="00D22C00">
        <w:tblPrEx>
          <w:tblLook w:val="0000" w:firstRow="0" w:lastRow="0" w:firstColumn="0" w:lastColumn="0" w:noHBand="0" w:noVBand="0"/>
        </w:tblPrEx>
        <w:trPr>
          <w:cantSplit/>
          <w:trHeight w:val="542"/>
        </w:trPr>
        <w:tc>
          <w:tcPr>
            <w:tcW w:w="2792" w:type="pct"/>
            <w:shd w:val="clear" w:color="auto" w:fill="FFFFFF" w:themeFill="background1"/>
          </w:tcPr>
          <w:p w14:paraId="12BD9063" w14:textId="438C6264" w:rsidR="00364D9D" w:rsidRPr="00364D9D" w:rsidRDefault="00364D9D" w:rsidP="007D7CAD">
            <w:pPr>
              <w:numPr>
                <w:ilvl w:val="1"/>
                <w:numId w:val="22"/>
              </w:numPr>
              <w:spacing w:after="200" w:line="276" w:lineRule="auto"/>
              <w:jc w:val="both"/>
              <w:rPr>
                <w:rFonts w:ascii="Arial" w:hAnsi="Arial" w:cs="Arial"/>
                <w:sz w:val="22"/>
                <w:szCs w:val="22"/>
              </w:rPr>
            </w:pPr>
            <w:r w:rsidRPr="00F04030">
              <w:rPr>
                <w:rFonts w:ascii="Arial" w:hAnsi="Arial" w:cs="Arial"/>
                <w:sz w:val="22"/>
                <w:szCs w:val="22"/>
              </w:rPr>
              <w:t>In cases where minimum performance standards have been met, other generally accepted benchmarks that continue the Contractor’s improvement efforts may be used</w:t>
            </w:r>
            <w:r w:rsidRPr="00F04030">
              <w:rPr>
                <w:rFonts w:ascii="Arial" w:hAnsi="Arial" w:cs="Arial"/>
                <w:b/>
                <w:bCs/>
                <w:sz w:val="22"/>
                <w:szCs w:val="22"/>
              </w:rPr>
              <w:t xml:space="preserve"> </w:t>
            </w:r>
            <w:r w:rsidRPr="00F04030">
              <w:rPr>
                <w:rFonts w:ascii="Arial" w:hAnsi="Arial" w:cs="Arial"/>
                <w:sz w:val="22"/>
                <w:szCs w:val="22"/>
              </w:rPr>
              <w:t>(e.g. National Committee on Quality Assurance, current Healthy People standards).</w:t>
            </w:r>
            <w:r w:rsidRPr="00F04030">
              <w:rPr>
                <w:rFonts w:ascii="Arial" w:hAnsi="Arial" w:cs="Arial"/>
                <w:bCs/>
                <w:sz w:val="22"/>
                <w:szCs w:val="22"/>
              </w:rPr>
              <w:t xml:space="preserve">  The Contractor may also develop their own specific measurable goals and objectives aimed at enhancing the Maternity and Family Planning Services and Supplies Programs.</w:t>
            </w:r>
            <w:r>
              <w:rPr>
                <w:rFonts w:ascii="Arial" w:hAnsi="Arial" w:cs="Arial"/>
                <w:bCs/>
                <w:sz w:val="22"/>
                <w:szCs w:val="22"/>
              </w:rPr>
              <w:t xml:space="preserve"> </w:t>
            </w:r>
            <w:r w:rsidRPr="00364D9D">
              <w:rPr>
                <w:rFonts w:ascii="Arial" w:hAnsi="Arial" w:cs="Arial"/>
                <w:bCs/>
                <w:sz w:val="22"/>
                <w:szCs w:val="22"/>
              </w:rPr>
              <w:t>In these cases, specific methodology shall be included in the Maternity and Family Planning Services and Supplies Plan.</w:t>
            </w:r>
          </w:p>
        </w:tc>
        <w:tc>
          <w:tcPr>
            <w:tcW w:w="460" w:type="pct"/>
            <w:shd w:val="clear" w:color="auto" w:fill="FFFFFF" w:themeFill="background1"/>
            <w:vAlign w:val="center"/>
          </w:tcPr>
          <w:p w14:paraId="0D58ECB3" w14:textId="77777777" w:rsidR="00364D9D" w:rsidRPr="00B5691E" w:rsidRDefault="00364D9D" w:rsidP="007D7CAD">
            <w:pPr>
              <w:spacing w:after="200" w:line="276" w:lineRule="auto"/>
              <w:rPr>
                <w:rFonts w:ascii="Arial" w:hAnsi="Arial" w:cs="Arial"/>
                <w:sz w:val="22"/>
                <w:szCs w:val="22"/>
              </w:rPr>
            </w:pPr>
          </w:p>
        </w:tc>
        <w:tc>
          <w:tcPr>
            <w:tcW w:w="248" w:type="pct"/>
            <w:shd w:val="clear" w:color="auto" w:fill="FFFFFF" w:themeFill="background1"/>
            <w:vAlign w:val="center"/>
          </w:tcPr>
          <w:p w14:paraId="277D547D" w14:textId="77777777" w:rsidR="00364D9D" w:rsidRPr="00B5691E" w:rsidRDefault="00364D9D" w:rsidP="007D7CAD">
            <w:pPr>
              <w:spacing w:after="200" w:line="276" w:lineRule="auto"/>
              <w:rPr>
                <w:rFonts w:ascii="Arial" w:hAnsi="Arial" w:cs="Arial"/>
                <w:sz w:val="22"/>
                <w:szCs w:val="22"/>
              </w:rPr>
            </w:pPr>
          </w:p>
        </w:tc>
        <w:tc>
          <w:tcPr>
            <w:tcW w:w="212" w:type="pct"/>
            <w:shd w:val="clear" w:color="auto" w:fill="FFFFFF" w:themeFill="background1"/>
            <w:vAlign w:val="center"/>
          </w:tcPr>
          <w:p w14:paraId="0E1F0180" w14:textId="77777777" w:rsidR="00364D9D" w:rsidRPr="00B5691E" w:rsidRDefault="00364D9D" w:rsidP="007D7CAD">
            <w:pPr>
              <w:spacing w:after="200" w:line="276" w:lineRule="auto"/>
              <w:rPr>
                <w:rFonts w:ascii="Arial" w:hAnsi="Arial" w:cs="Arial"/>
                <w:sz w:val="22"/>
                <w:szCs w:val="22"/>
              </w:rPr>
            </w:pPr>
          </w:p>
        </w:tc>
        <w:tc>
          <w:tcPr>
            <w:tcW w:w="1288" w:type="pct"/>
            <w:shd w:val="clear" w:color="auto" w:fill="FFFFFF" w:themeFill="background1"/>
            <w:vAlign w:val="center"/>
          </w:tcPr>
          <w:p w14:paraId="568946EB" w14:textId="77777777" w:rsidR="00364D9D" w:rsidRPr="00B5691E" w:rsidRDefault="00364D9D" w:rsidP="007D7CAD">
            <w:pPr>
              <w:spacing w:after="200" w:line="276" w:lineRule="auto"/>
              <w:rPr>
                <w:rFonts w:ascii="Arial" w:hAnsi="Arial" w:cs="Arial"/>
                <w:sz w:val="22"/>
                <w:szCs w:val="22"/>
              </w:rPr>
            </w:pPr>
          </w:p>
        </w:tc>
      </w:tr>
      <w:tr w:rsidR="00D22C00" w:rsidRPr="00B5691E" w14:paraId="1EB230B4" w14:textId="77777777" w:rsidTr="00D22C00">
        <w:tblPrEx>
          <w:tblLook w:val="0000" w:firstRow="0" w:lastRow="0" w:firstColumn="0" w:lastColumn="0" w:noHBand="0" w:noVBand="0"/>
        </w:tblPrEx>
        <w:trPr>
          <w:cantSplit/>
          <w:trHeight w:val="362"/>
        </w:trPr>
        <w:tc>
          <w:tcPr>
            <w:tcW w:w="2792" w:type="pct"/>
            <w:shd w:val="clear" w:color="auto" w:fill="FFFFFF" w:themeFill="background1"/>
          </w:tcPr>
          <w:p w14:paraId="6FBFEF21" w14:textId="1A383ED2" w:rsidR="00364D9D" w:rsidRPr="00364D9D" w:rsidRDefault="00364D9D" w:rsidP="007D7CAD">
            <w:pPr>
              <w:numPr>
                <w:ilvl w:val="1"/>
                <w:numId w:val="22"/>
              </w:numPr>
              <w:spacing w:after="200" w:line="276" w:lineRule="auto"/>
              <w:jc w:val="both"/>
              <w:rPr>
                <w:rFonts w:ascii="Arial" w:hAnsi="Arial" w:cs="Arial"/>
                <w:sz w:val="22"/>
                <w:szCs w:val="22"/>
              </w:rPr>
            </w:pPr>
            <w:r w:rsidRPr="00F04030">
              <w:rPr>
                <w:rFonts w:ascii="Arial" w:hAnsi="Arial" w:cs="Arial"/>
                <w:sz w:val="22"/>
                <w:szCs w:val="22"/>
              </w:rPr>
              <w:lastRenderedPageBreak/>
              <w:t xml:space="preserve">The Contractor will, for each goal, describe unique interventions, strategies and activities planned for specific populations/LOB </w:t>
            </w:r>
            <w:r w:rsidRPr="00364D9D">
              <w:rPr>
                <w:rFonts w:ascii="Arial" w:hAnsi="Arial" w:cs="Arial"/>
                <w:sz w:val="22"/>
                <w:szCs w:val="22"/>
              </w:rPr>
              <w:t xml:space="preserve">and /or Geographic Service Area (GSA) </w:t>
            </w:r>
            <w:r w:rsidRPr="00364D9D">
              <w:rPr>
                <w:rFonts w:ascii="Arial" w:eastAsia="Segoe UI" w:hAnsi="Arial" w:cs="Arial"/>
                <w:sz w:val="22"/>
                <w:szCs w:val="22"/>
              </w:rPr>
              <w:t>including coordination of care efforts, follow-up activities, outreach, etc.</w:t>
            </w:r>
          </w:p>
        </w:tc>
        <w:tc>
          <w:tcPr>
            <w:tcW w:w="460" w:type="pct"/>
            <w:shd w:val="clear" w:color="auto" w:fill="FFFFFF" w:themeFill="background1"/>
            <w:vAlign w:val="center"/>
          </w:tcPr>
          <w:p w14:paraId="3145B921" w14:textId="77777777" w:rsidR="00364D9D" w:rsidRPr="00B5691E" w:rsidRDefault="00364D9D" w:rsidP="007D7CAD">
            <w:pPr>
              <w:spacing w:after="200" w:line="276" w:lineRule="auto"/>
              <w:rPr>
                <w:rFonts w:ascii="Arial" w:hAnsi="Arial" w:cs="Arial"/>
                <w:sz w:val="22"/>
                <w:szCs w:val="22"/>
              </w:rPr>
            </w:pPr>
          </w:p>
        </w:tc>
        <w:tc>
          <w:tcPr>
            <w:tcW w:w="248" w:type="pct"/>
            <w:shd w:val="clear" w:color="auto" w:fill="FFFFFF" w:themeFill="background1"/>
            <w:vAlign w:val="center"/>
          </w:tcPr>
          <w:p w14:paraId="5ADBEF71" w14:textId="77777777" w:rsidR="00364D9D" w:rsidRPr="00B5691E" w:rsidRDefault="00364D9D" w:rsidP="007D7CAD">
            <w:pPr>
              <w:spacing w:after="200" w:line="276" w:lineRule="auto"/>
              <w:rPr>
                <w:rFonts w:ascii="Arial" w:hAnsi="Arial" w:cs="Arial"/>
                <w:sz w:val="22"/>
                <w:szCs w:val="22"/>
              </w:rPr>
            </w:pPr>
          </w:p>
        </w:tc>
        <w:tc>
          <w:tcPr>
            <w:tcW w:w="212" w:type="pct"/>
            <w:shd w:val="clear" w:color="auto" w:fill="FFFFFF" w:themeFill="background1"/>
            <w:vAlign w:val="center"/>
          </w:tcPr>
          <w:p w14:paraId="427DB4B1" w14:textId="77777777" w:rsidR="00364D9D" w:rsidRPr="00B5691E" w:rsidRDefault="00364D9D" w:rsidP="007D7CAD">
            <w:pPr>
              <w:spacing w:after="200" w:line="276" w:lineRule="auto"/>
              <w:rPr>
                <w:rFonts w:ascii="Arial" w:hAnsi="Arial" w:cs="Arial"/>
                <w:sz w:val="22"/>
                <w:szCs w:val="22"/>
              </w:rPr>
            </w:pPr>
          </w:p>
        </w:tc>
        <w:tc>
          <w:tcPr>
            <w:tcW w:w="1288" w:type="pct"/>
            <w:shd w:val="clear" w:color="auto" w:fill="FFFFFF" w:themeFill="background1"/>
            <w:vAlign w:val="center"/>
          </w:tcPr>
          <w:p w14:paraId="6B89C0B1" w14:textId="77777777" w:rsidR="00364D9D" w:rsidRPr="00B5691E" w:rsidRDefault="00364D9D" w:rsidP="007D7CAD">
            <w:pPr>
              <w:spacing w:after="200" w:line="276" w:lineRule="auto"/>
              <w:rPr>
                <w:rFonts w:ascii="Arial" w:hAnsi="Arial" w:cs="Arial"/>
                <w:sz w:val="22"/>
                <w:szCs w:val="22"/>
              </w:rPr>
            </w:pPr>
          </w:p>
        </w:tc>
      </w:tr>
      <w:tr w:rsidR="00D22C00" w:rsidRPr="00B5691E" w14:paraId="61E857AB" w14:textId="77777777" w:rsidTr="00D22C00">
        <w:tblPrEx>
          <w:tblLook w:val="0000" w:firstRow="0" w:lastRow="0" w:firstColumn="0" w:lastColumn="0" w:noHBand="0" w:noVBand="0"/>
        </w:tblPrEx>
        <w:trPr>
          <w:cantSplit/>
          <w:trHeight w:val="507"/>
        </w:trPr>
        <w:tc>
          <w:tcPr>
            <w:tcW w:w="2792" w:type="pct"/>
            <w:shd w:val="clear" w:color="auto" w:fill="FFFFFF" w:themeFill="background1"/>
          </w:tcPr>
          <w:p w14:paraId="08F34DE6" w14:textId="662E92E4" w:rsidR="00364D9D" w:rsidRPr="00B5691E" w:rsidRDefault="00364D9D" w:rsidP="007D7CAD">
            <w:pPr>
              <w:numPr>
                <w:ilvl w:val="1"/>
                <w:numId w:val="22"/>
              </w:numPr>
              <w:spacing w:after="200" w:line="276" w:lineRule="auto"/>
              <w:jc w:val="both"/>
              <w:rPr>
                <w:rFonts w:ascii="Arial" w:hAnsi="Arial" w:cs="Arial"/>
                <w:bCs/>
                <w:sz w:val="22"/>
                <w:szCs w:val="22"/>
              </w:rPr>
            </w:pPr>
            <w:r w:rsidRPr="00364D9D">
              <w:rPr>
                <w:rFonts w:ascii="Arial" w:hAnsi="Arial" w:cs="Arial"/>
                <w:bCs/>
                <w:sz w:val="22"/>
                <w:szCs w:val="22"/>
              </w:rPr>
              <w:t>Targeted implementation and completion dates of work plan activities separated by quarter</w:t>
            </w:r>
          </w:p>
        </w:tc>
        <w:tc>
          <w:tcPr>
            <w:tcW w:w="460" w:type="pct"/>
            <w:shd w:val="clear" w:color="auto" w:fill="FFFFFF" w:themeFill="background1"/>
            <w:vAlign w:val="center"/>
          </w:tcPr>
          <w:p w14:paraId="7900345D" w14:textId="77777777" w:rsidR="00364D9D" w:rsidRPr="00B5691E" w:rsidRDefault="00364D9D" w:rsidP="007D7CAD">
            <w:pPr>
              <w:spacing w:after="200" w:line="276" w:lineRule="auto"/>
              <w:rPr>
                <w:rFonts w:ascii="Arial" w:hAnsi="Arial" w:cs="Arial"/>
                <w:sz w:val="22"/>
                <w:szCs w:val="22"/>
              </w:rPr>
            </w:pPr>
          </w:p>
        </w:tc>
        <w:tc>
          <w:tcPr>
            <w:tcW w:w="248" w:type="pct"/>
            <w:shd w:val="clear" w:color="auto" w:fill="FFFFFF" w:themeFill="background1"/>
            <w:vAlign w:val="center"/>
          </w:tcPr>
          <w:p w14:paraId="17E5BC63" w14:textId="77777777" w:rsidR="00364D9D" w:rsidRPr="00B5691E" w:rsidRDefault="00364D9D" w:rsidP="007D7CAD">
            <w:pPr>
              <w:spacing w:after="200" w:line="276" w:lineRule="auto"/>
              <w:rPr>
                <w:rFonts w:ascii="Arial" w:hAnsi="Arial" w:cs="Arial"/>
                <w:sz w:val="22"/>
                <w:szCs w:val="22"/>
              </w:rPr>
            </w:pPr>
          </w:p>
        </w:tc>
        <w:tc>
          <w:tcPr>
            <w:tcW w:w="212" w:type="pct"/>
            <w:shd w:val="clear" w:color="auto" w:fill="FFFFFF" w:themeFill="background1"/>
            <w:vAlign w:val="center"/>
          </w:tcPr>
          <w:p w14:paraId="6378EB51" w14:textId="77777777" w:rsidR="00364D9D" w:rsidRPr="00B5691E" w:rsidRDefault="00364D9D" w:rsidP="007D7CAD">
            <w:pPr>
              <w:spacing w:after="200" w:line="276" w:lineRule="auto"/>
              <w:rPr>
                <w:rFonts w:ascii="Arial" w:hAnsi="Arial" w:cs="Arial"/>
                <w:sz w:val="22"/>
                <w:szCs w:val="22"/>
              </w:rPr>
            </w:pPr>
          </w:p>
        </w:tc>
        <w:tc>
          <w:tcPr>
            <w:tcW w:w="1288" w:type="pct"/>
            <w:shd w:val="clear" w:color="auto" w:fill="FFFFFF" w:themeFill="background1"/>
            <w:vAlign w:val="center"/>
          </w:tcPr>
          <w:p w14:paraId="30E87BF6" w14:textId="77777777" w:rsidR="00364D9D" w:rsidRPr="00B5691E" w:rsidRDefault="00364D9D" w:rsidP="007D7CAD">
            <w:pPr>
              <w:spacing w:after="200" w:line="276" w:lineRule="auto"/>
              <w:rPr>
                <w:rFonts w:ascii="Arial" w:hAnsi="Arial" w:cs="Arial"/>
                <w:sz w:val="22"/>
                <w:szCs w:val="22"/>
              </w:rPr>
            </w:pPr>
          </w:p>
        </w:tc>
      </w:tr>
      <w:tr w:rsidR="00D22C00" w:rsidRPr="00B5691E" w14:paraId="4CCC4F7F" w14:textId="77777777" w:rsidTr="00D22C00">
        <w:tblPrEx>
          <w:tblLook w:val="0000" w:firstRow="0" w:lastRow="0" w:firstColumn="0" w:lastColumn="0" w:noHBand="0" w:noVBand="0"/>
        </w:tblPrEx>
        <w:trPr>
          <w:cantSplit/>
          <w:trHeight w:val="1155"/>
        </w:trPr>
        <w:tc>
          <w:tcPr>
            <w:tcW w:w="2792" w:type="pct"/>
            <w:shd w:val="clear" w:color="auto" w:fill="FFFFFF" w:themeFill="background1"/>
          </w:tcPr>
          <w:p w14:paraId="64D42E08" w14:textId="152D3BA0" w:rsidR="00364D9D" w:rsidRPr="00364D9D" w:rsidRDefault="00364D9D" w:rsidP="007D7CAD">
            <w:pPr>
              <w:numPr>
                <w:ilvl w:val="1"/>
                <w:numId w:val="22"/>
              </w:numPr>
              <w:spacing w:after="200" w:line="276" w:lineRule="auto"/>
              <w:jc w:val="both"/>
              <w:rPr>
                <w:rFonts w:ascii="Arial" w:hAnsi="Arial" w:cs="Arial"/>
                <w:bCs/>
                <w:sz w:val="22"/>
                <w:szCs w:val="22"/>
              </w:rPr>
            </w:pPr>
            <w:r w:rsidRPr="00364D9D">
              <w:rPr>
                <w:rFonts w:ascii="Arial" w:hAnsi="Arial" w:cs="Arial"/>
                <w:bCs/>
                <w:sz w:val="22"/>
                <w:szCs w:val="22"/>
              </w:rPr>
              <w:t>A listing of local staff positions responsible and accountable for meeting established goals and objectives for Maternity and Family Planning Services and Supplies activities.</w:t>
            </w:r>
          </w:p>
        </w:tc>
        <w:tc>
          <w:tcPr>
            <w:tcW w:w="460" w:type="pct"/>
            <w:shd w:val="clear" w:color="auto" w:fill="FFFFFF" w:themeFill="background1"/>
            <w:vAlign w:val="center"/>
          </w:tcPr>
          <w:p w14:paraId="3AF6DA46" w14:textId="77777777" w:rsidR="00364D9D" w:rsidRPr="00B5691E" w:rsidRDefault="00364D9D" w:rsidP="007D7CAD">
            <w:pPr>
              <w:spacing w:after="200" w:line="276" w:lineRule="auto"/>
              <w:rPr>
                <w:rFonts w:ascii="Arial" w:hAnsi="Arial" w:cs="Arial"/>
                <w:sz w:val="22"/>
                <w:szCs w:val="22"/>
              </w:rPr>
            </w:pPr>
          </w:p>
        </w:tc>
        <w:tc>
          <w:tcPr>
            <w:tcW w:w="248" w:type="pct"/>
            <w:shd w:val="clear" w:color="auto" w:fill="FFFFFF" w:themeFill="background1"/>
            <w:vAlign w:val="center"/>
          </w:tcPr>
          <w:p w14:paraId="2B208274" w14:textId="77777777" w:rsidR="00364D9D" w:rsidRPr="00B5691E" w:rsidRDefault="00364D9D" w:rsidP="007D7CAD">
            <w:pPr>
              <w:spacing w:after="200" w:line="276" w:lineRule="auto"/>
              <w:rPr>
                <w:rFonts w:ascii="Arial" w:hAnsi="Arial" w:cs="Arial"/>
                <w:sz w:val="22"/>
                <w:szCs w:val="22"/>
              </w:rPr>
            </w:pPr>
          </w:p>
        </w:tc>
        <w:tc>
          <w:tcPr>
            <w:tcW w:w="212" w:type="pct"/>
            <w:shd w:val="clear" w:color="auto" w:fill="FFFFFF" w:themeFill="background1"/>
            <w:vAlign w:val="center"/>
          </w:tcPr>
          <w:p w14:paraId="19395982" w14:textId="77777777" w:rsidR="00364D9D" w:rsidRPr="00B5691E" w:rsidRDefault="00364D9D" w:rsidP="007D7CAD">
            <w:pPr>
              <w:spacing w:after="200" w:line="276" w:lineRule="auto"/>
              <w:rPr>
                <w:rFonts w:ascii="Arial" w:hAnsi="Arial" w:cs="Arial"/>
                <w:sz w:val="22"/>
                <w:szCs w:val="22"/>
              </w:rPr>
            </w:pPr>
          </w:p>
        </w:tc>
        <w:tc>
          <w:tcPr>
            <w:tcW w:w="1288" w:type="pct"/>
            <w:shd w:val="clear" w:color="auto" w:fill="FFFFFF" w:themeFill="background1"/>
            <w:vAlign w:val="center"/>
          </w:tcPr>
          <w:p w14:paraId="482BA100" w14:textId="77777777" w:rsidR="00364D9D" w:rsidRPr="00B5691E" w:rsidRDefault="00364D9D" w:rsidP="007D7CAD">
            <w:pPr>
              <w:spacing w:after="200" w:line="276" w:lineRule="auto"/>
              <w:rPr>
                <w:rFonts w:ascii="Arial" w:hAnsi="Arial" w:cs="Arial"/>
                <w:sz w:val="22"/>
                <w:szCs w:val="22"/>
              </w:rPr>
            </w:pPr>
          </w:p>
        </w:tc>
      </w:tr>
    </w:tbl>
    <w:p w14:paraId="475D9E1E" w14:textId="77777777" w:rsidR="00364D9D" w:rsidRDefault="00364D9D" w:rsidP="007D7CAD">
      <w:pPr>
        <w:spacing w:line="276" w:lineRule="auto"/>
        <w:rPr>
          <w:rFonts w:ascii="Arial" w:hAnsi="Arial" w:cs="Arial"/>
          <w:sz w:val="22"/>
          <w:szCs w:val="22"/>
        </w:rPr>
      </w:pPr>
    </w:p>
    <w:p w14:paraId="5192489B" w14:textId="6ECA8295" w:rsidR="00196EA5" w:rsidRDefault="00196EA5" w:rsidP="007D7CAD">
      <w:pPr>
        <w:spacing w:line="276" w:lineRule="auto"/>
        <w:rPr>
          <w:rFonts w:ascii="Arial" w:hAnsi="Arial" w:cs="Arial"/>
          <w:sz w:val="22"/>
          <w:szCs w:val="22"/>
        </w:rPr>
      </w:pPr>
    </w:p>
    <w:p w14:paraId="2B046A65" w14:textId="77777777" w:rsidR="00D22C00" w:rsidRDefault="00D22C00" w:rsidP="007D7CAD">
      <w:pPr>
        <w:spacing w:line="276" w:lineRule="auto"/>
        <w:rPr>
          <w:rFonts w:ascii="Arial" w:hAnsi="Arial" w:cs="Arial"/>
          <w:sz w:val="22"/>
          <w:szCs w:val="22"/>
        </w:rPr>
      </w:pPr>
    </w:p>
    <w:p w14:paraId="26D208FA" w14:textId="77777777" w:rsidR="00D22C00" w:rsidRDefault="00D22C00" w:rsidP="007D7CAD">
      <w:pPr>
        <w:spacing w:line="276" w:lineRule="auto"/>
        <w:rPr>
          <w:rFonts w:ascii="Arial" w:hAnsi="Arial" w:cs="Arial"/>
          <w:sz w:val="22"/>
          <w:szCs w:val="22"/>
        </w:rPr>
      </w:pPr>
    </w:p>
    <w:p w14:paraId="736BC79D" w14:textId="77777777" w:rsidR="00D22C00" w:rsidRDefault="00D22C00" w:rsidP="007D7CAD">
      <w:pPr>
        <w:spacing w:line="276" w:lineRule="auto"/>
        <w:rPr>
          <w:rFonts w:ascii="Arial" w:hAnsi="Arial" w:cs="Arial"/>
          <w:sz w:val="22"/>
          <w:szCs w:val="22"/>
        </w:rPr>
      </w:pPr>
    </w:p>
    <w:tbl>
      <w:tblPr>
        <w:tblpPr w:leftFromText="187" w:rightFromText="187" w:vertAnchor="text" w:tblpX="265" w:tblpY="1"/>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105"/>
        <w:gridCol w:w="1170"/>
        <w:gridCol w:w="631"/>
        <w:gridCol w:w="539"/>
        <w:gridCol w:w="3277"/>
      </w:tblGrid>
      <w:tr w:rsidR="00D22C00" w:rsidRPr="00B5691E" w14:paraId="3F4B8170" w14:textId="77777777" w:rsidTr="00D22C00">
        <w:trPr>
          <w:cantSplit/>
          <w:trHeight w:val="627"/>
          <w:tblHeader/>
        </w:trPr>
        <w:tc>
          <w:tcPr>
            <w:tcW w:w="2792" w:type="pct"/>
            <w:shd w:val="clear" w:color="auto" w:fill="BFBFBF" w:themeFill="background1" w:themeFillShade="BF"/>
            <w:vAlign w:val="center"/>
          </w:tcPr>
          <w:p w14:paraId="5CC55C19" w14:textId="1B8164DC" w:rsidR="00056E56" w:rsidRPr="00B5691E" w:rsidRDefault="00364D9D" w:rsidP="007D7CAD">
            <w:pPr>
              <w:spacing w:line="276" w:lineRule="auto"/>
              <w:jc w:val="center"/>
              <w:rPr>
                <w:rFonts w:ascii="Arial" w:hAnsi="Arial" w:cs="Arial"/>
                <w:b/>
                <w:sz w:val="22"/>
                <w:szCs w:val="22"/>
              </w:rPr>
            </w:pPr>
            <w:r>
              <w:rPr>
                <w:rFonts w:ascii="Arial" w:hAnsi="Arial" w:cs="Arial"/>
                <w:b/>
                <w:sz w:val="22"/>
                <w:szCs w:val="22"/>
              </w:rPr>
              <w:t xml:space="preserve">Relevant </w:t>
            </w:r>
            <w:r w:rsidRPr="00364D9D">
              <w:rPr>
                <w:rFonts w:ascii="Arial" w:hAnsi="Arial" w:cs="Arial"/>
                <w:b/>
                <w:sz w:val="22"/>
                <w:szCs w:val="22"/>
              </w:rPr>
              <w:t xml:space="preserve">Maternity and Family Planning Services and Supplies </w:t>
            </w:r>
            <w:r>
              <w:rPr>
                <w:rFonts w:ascii="Arial" w:hAnsi="Arial" w:cs="Arial"/>
                <w:b/>
                <w:sz w:val="22"/>
                <w:szCs w:val="22"/>
              </w:rPr>
              <w:t>Policies and Procedures</w:t>
            </w:r>
          </w:p>
        </w:tc>
        <w:tc>
          <w:tcPr>
            <w:tcW w:w="460" w:type="pct"/>
            <w:shd w:val="clear" w:color="auto" w:fill="BFBFBF" w:themeFill="background1" w:themeFillShade="BF"/>
            <w:vAlign w:val="center"/>
          </w:tcPr>
          <w:p w14:paraId="1A6B1B7A" w14:textId="77777777" w:rsidR="00364D9D" w:rsidRPr="00B5691E" w:rsidRDefault="00364D9D" w:rsidP="007D7CAD">
            <w:pPr>
              <w:spacing w:line="276" w:lineRule="auto"/>
              <w:jc w:val="center"/>
              <w:rPr>
                <w:rFonts w:ascii="Arial" w:hAnsi="Arial" w:cs="Arial"/>
                <w:b/>
                <w:sz w:val="22"/>
                <w:szCs w:val="22"/>
              </w:rPr>
            </w:pPr>
            <w:r w:rsidRPr="00B5691E">
              <w:rPr>
                <w:rFonts w:ascii="Arial" w:hAnsi="Arial" w:cs="Arial"/>
                <w:b/>
                <w:sz w:val="22"/>
                <w:szCs w:val="22"/>
              </w:rPr>
              <w:t>Found on page</w:t>
            </w:r>
            <w:r>
              <w:rPr>
                <w:rFonts w:ascii="Arial" w:hAnsi="Arial" w:cs="Arial"/>
                <w:b/>
                <w:sz w:val="22"/>
              </w:rPr>
              <w:t>:</w:t>
            </w:r>
          </w:p>
        </w:tc>
        <w:tc>
          <w:tcPr>
            <w:tcW w:w="248" w:type="pct"/>
            <w:shd w:val="clear" w:color="auto" w:fill="BFBFBF" w:themeFill="background1" w:themeFillShade="BF"/>
            <w:vAlign w:val="center"/>
          </w:tcPr>
          <w:p w14:paraId="1A09DC7B" w14:textId="77777777" w:rsidR="00364D9D" w:rsidRPr="00B5691E" w:rsidRDefault="00364D9D" w:rsidP="007D7CAD">
            <w:pPr>
              <w:spacing w:line="276" w:lineRule="auto"/>
              <w:jc w:val="center"/>
              <w:rPr>
                <w:rFonts w:ascii="Arial" w:hAnsi="Arial" w:cs="Arial"/>
                <w:b/>
                <w:sz w:val="22"/>
                <w:szCs w:val="22"/>
              </w:rPr>
            </w:pPr>
            <w:r w:rsidRPr="00B5691E">
              <w:rPr>
                <w:rFonts w:ascii="Arial" w:hAnsi="Arial" w:cs="Arial"/>
                <w:b/>
                <w:sz w:val="22"/>
                <w:szCs w:val="22"/>
              </w:rPr>
              <w:t>Yes</w:t>
            </w:r>
          </w:p>
        </w:tc>
        <w:tc>
          <w:tcPr>
            <w:tcW w:w="212" w:type="pct"/>
            <w:shd w:val="clear" w:color="auto" w:fill="BFBFBF" w:themeFill="background1" w:themeFillShade="BF"/>
            <w:vAlign w:val="center"/>
          </w:tcPr>
          <w:p w14:paraId="075C2744" w14:textId="77777777" w:rsidR="00364D9D" w:rsidRPr="00B5691E" w:rsidRDefault="00364D9D" w:rsidP="007D7CAD">
            <w:pPr>
              <w:spacing w:line="276" w:lineRule="auto"/>
              <w:jc w:val="center"/>
              <w:rPr>
                <w:rFonts w:ascii="Arial" w:hAnsi="Arial" w:cs="Arial"/>
                <w:b/>
                <w:sz w:val="22"/>
                <w:szCs w:val="22"/>
              </w:rPr>
            </w:pPr>
            <w:r w:rsidRPr="00B5691E">
              <w:rPr>
                <w:rFonts w:ascii="Arial" w:hAnsi="Arial" w:cs="Arial"/>
                <w:b/>
                <w:sz w:val="22"/>
                <w:szCs w:val="22"/>
              </w:rPr>
              <w:t>No</w:t>
            </w:r>
          </w:p>
        </w:tc>
        <w:tc>
          <w:tcPr>
            <w:tcW w:w="1288" w:type="pct"/>
            <w:shd w:val="clear" w:color="auto" w:fill="BFBFBF" w:themeFill="background1" w:themeFillShade="BF"/>
            <w:vAlign w:val="center"/>
          </w:tcPr>
          <w:p w14:paraId="755B013D" w14:textId="77777777" w:rsidR="00364D9D" w:rsidRPr="00B5691E" w:rsidRDefault="00364D9D" w:rsidP="007D7CAD">
            <w:pPr>
              <w:spacing w:line="276" w:lineRule="auto"/>
              <w:jc w:val="center"/>
              <w:rPr>
                <w:rFonts w:ascii="Arial" w:hAnsi="Arial" w:cs="Arial"/>
                <w:b/>
                <w:sz w:val="22"/>
                <w:szCs w:val="22"/>
              </w:rPr>
            </w:pPr>
            <w:r w:rsidRPr="00B5691E">
              <w:rPr>
                <w:rFonts w:ascii="Arial" w:hAnsi="Arial" w:cs="Arial"/>
                <w:b/>
                <w:sz w:val="22"/>
                <w:szCs w:val="22"/>
              </w:rPr>
              <w:t>Explanation of “No” answer/Reviewer comments</w:t>
            </w:r>
          </w:p>
        </w:tc>
      </w:tr>
      <w:tr w:rsidR="00D22C00" w:rsidRPr="00B5691E" w14:paraId="7FB3FA7A" w14:textId="77777777" w:rsidTr="00D22C00">
        <w:tblPrEx>
          <w:tblLook w:val="0000" w:firstRow="0" w:lastRow="0" w:firstColumn="0" w:lastColumn="0" w:noHBand="0" w:noVBand="0"/>
        </w:tblPrEx>
        <w:trPr>
          <w:cantSplit/>
          <w:trHeight w:val="542"/>
        </w:trPr>
        <w:tc>
          <w:tcPr>
            <w:tcW w:w="2792" w:type="pct"/>
            <w:shd w:val="clear" w:color="auto" w:fill="FFFFFF" w:themeFill="background1"/>
          </w:tcPr>
          <w:p w14:paraId="4EB17E54" w14:textId="4DB43EFE" w:rsidR="00364D9D" w:rsidRPr="00364D9D" w:rsidRDefault="00364D9D" w:rsidP="007D7CAD">
            <w:pPr>
              <w:numPr>
                <w:ilvl w:val="0"/>
                <w:numId w:val="26"/>
              </w:numPr>
              <w:spacing w:after="200" w:line="276" w:lineRule="auto"/>
              <w:jc w:val="both"/>
              <w:rPr>
                <w:rFonts w:ascii="Arial" w:hAnsi="Arial" w:cs="Arial"/>
                <w:sz w:val="22"/>
                <w:szCs w:val="22"/>
              </w:rPr>
            </w:pPr>
            <w:r w:rsidRPr="00364D9D">
              <w:rPr>
                <w:rFonts w:ascii="Arial" w:hAnsi="Arial" w:cs="Arial"/>
                <w:sz w:val="22"/>
                <w:szCs w:val="22"/>
              </w:rPr>
              <w:t>The Contractor shall attach all relevant policies and procedures addressed in the Maternity and Family Planning Services and Supplies Plan (e.g., medically necessary pregnancy termination, family planning services and supplies, maternity care, and Women’s Preventive Care). Policies shall be properly branded indicating applicability to LOB, in alignment with Contract requirements, and, if currently being revised, a track edited version shall be submitted.</w:t>
            </w:r>
          </w:p>
        </w:tc>
        <w:tc>
          <w:tcPr>
            <w:tcW w:w="460" w:type="pct"/>
            <w:shd w:val="clear" w:color="auto" w:fill="FFFFFF" w:themeFill="background1"/>
            <w:vAlign w:val="center"/>
          </w:tcPr>
          <w:p w14:paraId="0A4831CA" w14:textId="77777777" w:rsidR="00364D9D" w:rsidRPr="00B5691E" w:rsidRDefault="00364D9D" w:rsidP="007D7CAD">
            <w:pPr>
              <w:spacing w:after="200" w:line="276" w:lineRule="auto"/>
              <w:rPr>
                <w:rFonts w:ascii="Arial" w:hAnsi="Arial" w:cs="Arial"/>
                <w:sz w:val="22"/>
                <w:szCs w:val="22"/>
              </w:rPr>
            </w:pPr>
          </w:p>
        </w:tc>
        <w:tc>
          <w:tcPr>
            <w:tcW w:w="248" w:type="pct"/>
            <w:shd w:val="clear" w:color="auto" w:fill="FFFFFF" w:themeFill="background1"/>
            <w:vAlign w:val="center"/>
          </w:tcPr>
          <w:p w14:paraId="0EAABA9F" w14:textId="77777777" w:rsidR="00364D9D" w:rsidRPr="00B5691E" w:rsidRDefault="00364D9D" w:rsidP="007D7CAD">
            <w:pPr>
              <w:spacing w:after="200" w:line="276" w:lineRule="auto"/>
              <w:rPr>
                <w:rFonts w:ascii="Arial" w:hAnsi="Arial" w:cs="Arial"/>
                <w:sz w:val="22"/>
                <w:szCs w:val="22"/>
              </w:rPr>
            </w:pPr>
          </w:p>
        </w:tc>
        <w:tc>
          <w:tcPr>
            <w:tcW w:w="212" w:type="pct"/>
            <w:shd w:val="clear" w:color="auto" w:fill="FFFFFF" w:themeFill="background1"/>
            <w:vAlign w:val="center"/>
          </w:tcPr>
          <w:p w14:paraId="46C62DFE" w14:textId="77777777" w:rsidR="00364D9D" w:rsidRPr="00B5691E" w:rsidRDefault="00364D9D" w:rsidP="007D7CAD">
            <w:pPr>
              <w:spacing w:after="200" w:line="276" w:lineRule="auto"/>
              <w:rPr>
                <w:rFonts w:ascii="Arial" w:hAnsi="Arial" w:cs="Arial"/>
                <w:sz w:val="22"/>
                <w:szCs w:val="22"/>
              </w:rPr>
            </w:pPr>
          </w:p>
        </w:tc>
        <w:tc>
          <w:tcPr>
            <w:tcW w:w="1288" w:type="pct"/>
            <w:shd w:val="clear" w:color="auto" w:fill="FFFFFF" w:themeFill="background1"/>
            <w:vAlign w:val="center"/>
          </w:tcPr>
          <w:p w14:paraId="3BDF4702" w14:textId="77777777" w:rsidR="00364D9D" w:rsidRPr="00B5691E" w:rsidRDefault="00364D9D" w:rsidP="007D7CAD">
            <w:pPr>
              <w:spacing w:after="200" w:line="276" w:lineRule="auto"/>
              <w:rPr>
                <w:rFonts w:ascii="Arial" w:hAnsi="Arial" w:cs="Arial"/>
                <w:sz w:val="22"/>
                <w:szCs w:val="22"/>
              </w:rPr>
            </w:pPr>
          </w:p>
        </w:tc>
      </w:tr>
    </w:tbl>
    <w:p w14:paraId="12582199" w14:textId="77777777" w:rsidR="00FD6F85" w:rsidRPr="00F04030" w:rsidRDefault="00FD6F85" w:rsidP="007D7CAD">
      <w:pPr>
        <w:spacing w:line="276" w:lineRule="auto"/>
        <w:rPr>
          <w:rFonts w:ascii="Arial" w:hAnsi="Arial" w:cs="Arial"/>
          <w:sz w:val="22"/>
          <w:szCs w:val="22"/>
        </w:rPr>
      </w:pPr>
    </w:p>
    <w:sectPr w:rsidR="00FD6F85" w:rsidRPr="00F04030" w:rsidSect="00781BE3">
      <w:headerReference w:type="even" r:id="rId11"/>
      <w:headerReference w:type="default" r:id="rId12"/>
      <w:footerReference w:type="default" r:id="rId13"/>
      <w:headerReference w:type="first" r:id="rId14"/>
      <w:pgSz w:w="15840" w:h="12240" w:orient="landscape"/>
      <w:pgMar w:top="576" w:right="1440" w:bottom="576"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F526D" w14:textId="77777777" w:rsidR="00781BE3" w:rsidRDefault="00781BE3" w:rsidP="00A00F75">
      <w:r>
        <w:separator/>
      </w:r>
    </w:p>
  </w:endnote>
  <w:endnote w:type="continuationSeparator" w:id="0">
    <w:p w14:paraId="4AF64640" w14:textId="77777777" w:rsidR="00781BE3" w:rsidRDefault="00781BE3" w:rsidP="00A00F75">
      <w:r>
        <w:continuationSeparator/>
      </w:r>
    </w:p>
  </w:endnote>
  <w:endnote w:type="continuationNotice" w:id="1">
    <w:p w14:paraId="2E0B26E6" w14:textId="77777777" w:rsidR="00781BE3" w:rsidRDefault="00781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801DC" w14:textId="63D6FE5F" w:rsidR="00154532" w:rsidRPr="00E30850" w:rsidRDefault="00BF0EA4" w:rsidP="009F1501">
    <w:pPr>
      <w:pStyle w:val="Footer"/>
      <w:pBdr>
        <w:top w:val="single" w:sz="18" w:space="1" w:color="218DCB"/>
      </w:pBdr>
      <w:jc w:val="center"/>
      <w:rPr>
        <w:b/>
        <w:color w:val="218DCB"/>
      </w:rPr>
    </w:pPr>
    <w:r w:rsidRPr="007D14C1">
      <w:rPr>
        <w:rFonts w:asciiTheme="minorHAnsi" w:hAnsiTheme="minorHAnsi" w:cstheme="minorHAnsi"/>
        <w:b/>
        <w:color w:val="218DCB"/>
        <w:sz w:val="22"/>
        <w:szCs w:val="22"/>
      </w:rPr>
      <w:t xml:space="preserve">Page </w:t>
    </w:r>
    <w:r w:rsidRPr="007D14C1">
      <w:rPr>
        <w:rStyle w:val="PageNumber"/>
        <w:rFonts w:asciiTheme="minorHAnsi" w:hAnsiTheme="minorHAnsi" w:cstheme="minorHAnsi"/>
        <w:b/>
        <w:color w:val="218DCB"/>
        <w:sz w:val="22"/>
        <w:szCs w:val="22"/>
      </w:rPr>
      <w:fldChar w:fldCharType="begin"/>
    </w:r>
    <w:r w:rsidRPr="007D14C1">
      <w:rPr>
        <w:rStyle w:val="PageNumber"/>
        <w:rFonts w:asciiTheme="minorHAnsi" w:hAnsiTheme="minorHAnsi" w:cstheme="minorHAnsi"/>
        <w:b/>
        <w:color w:val="218DCB"/>
        <w:sz w:val="22"/>
        <w:szCs w:val="22"/>
      </w:rPr>
      <w:instrText xml:space="preserve"> PAGE </w:instrText>
    </w:r>
    <w:r w:rsidRPr="007D14C1">
      <w:rPr>
        <w:rStyle w:val="PageNumber"/>
        <w:rFonts w:asciiTheme="minorHAnsi" w:hAnsiTheme="minorHAnsi" w:cstheme="minorHAnsi"/>
        <w:b/>
        <w:color w:val="218DCB"/>
        <w:sz w:val="22"/>
        <w:szCs w:val="22"/>
      </w:rPr>
      <w:fldChar w:fldCharType="separate"/>
    </w:r>
    <w:r>
      <w:rPr>
        <w:rStyle w:val="PageNumber"/>
        <w:rFonts w:asciiTheme="minorHAnsi" w:hAnsiTheme="minorHAnsi" w:cstheme="minorHAnsi"/>
        <w:b/>
        <w:color w:val="218DCB"/>
        <w:sz w:val="22"/>
        <w:szCs w:val="22"/>
      </w:rPr>
      <w:t>1</w:t>
    </w:r>
    <w:r w:rsidRPr="007D14C1">
      <w:rPr>
        <w:rStyle w:val="PageNumber"/>
        <w:rFonts w:asciiTheme="minorHAnsi" w:hAnsiTheme="minorHAnsi" w:cstheme="minorHAnsi"/>
        <w:b/>
        <w:color w:val="218DCB"/>
        <w:sz w:val="22"/>
        <w:szCs w:val="22"/>
      </w:rPr>
      <w:fldChar w:fldCharType="end"/>
    </w:r>
    <w:r w:rsidRPr="007D14C1">
      <w:rPr>
        <w:rStyle w:val="PageNumber"/>
        <w:rFonts w:asciiTheme="minorHAnsi" w:hAnsiTheme="minorHAnsi" w:cstheme="minorHAnsi"/>
        <w:b/>
        <w:color w:val="218DCB"/>
        <w:sz w:val="22"/>
        <w:szCs w:val="22"/>
      </w:rPr>
      <w:t xml:space="preserve"> of </w:t>
    </w:r>
    <w:r w:rsidRPr="007D14C1">
      <w:rPr>
        <w:rStyle w:val="PageNumber"/>
        <w:rFonts w:asciiTheme="minorHAnsi" w:hAnsiTheme="minorHAnsi" w:cstheme="minorHAnsi"/>
        <w:b/>
        <w:color w:val="218DCB"/>
        <w:sz w:val="22"/>
        <w:szCs w:val="22"/>
      </w:rPr>
      <w:fldChar w:fldCharType="begin"/>
    </w:r>
    <w:r w:rsidRPr="007D14C1">
      <w:rPr>
        <w:rStyle w:val="PageNumber"/>
        <w:rFonts w:asciiTheme="minorHAnsi" w:hAnsiTheme="minorHAnsi" w:cstheme="minorHAnsi"/>
        <w:b/>
        <w:color w:val="218DCB"/>
        <w:sz w:val="22"/>
        <w:szCs w:val="22"/>
      </w:rPr>
      <w:instrText xml:space="preserve"> NUMPAGES </w:instrText>
    </w:r>
    <w:r w:rsidRPr="007D14C1">
      <w:rPr>
        <w:rStyle w:val="PageNumber"/>
        <w:rFonts w:asciiTheme="minorHAnsi" w:hAnsiTheme="minorHAnsi" w:cstheme="minorHAnsi"/>
        <w:b/>
        <w:color w:val="218DCB"/>
        <w:sz w:val="22"/>
        <w:szCs w:val="22"/>
      </w:rPr>
      <w:fldChar w:fldCharType="separate"/>
    </w:r>
    <w:r>
      <w:rPr>
        <w:rStyle w:val="PageNumber"/>
        <w:rFonts w:asciiTheme="minorHAnsi" w:hAnsiTheme="minorHAnsi" w:cstheme="minorHAnsi"/>
        <w:b/>
        <w:color w:val="218DCB"/>
        <w:sz w:val="22"/>
        <w:szCs w:val="22"/>
      </w:rPr>
      <w:t>4</w:t>
    </w:r>
    <w:r w:rsidRPr="007D14C1">
      <w:rPr>
        <w:rStyle w:val="PageNumber"/>
        <w:rFonts w:asciiTheme="minorHAnsi" w:hAnsiTheme="minorHAnsi" w:cstheme="minorHAnsi"/>
        <w:b/>
        <w:color w:val="218DCB"/>
        <w:sz w:val="22"/>
        <w:szCs w:val="22"/>
      </w:rPr>
      <w:fldChar w:fldCharType="end"/>
    </w:r>
  </w:p>
  <w:p w14:paraId="125821AC" w14:textId="49E969FD" w:rsidR="00E572BA" w:rsidRPr="00910F57" w:rsidRDefault="00E572BA" w:rsidP="00150656">
    <w:pPr>
      <w:pStyle w:val="Footer"/>
      <w:rPr>
        <w:rFonts w:asciiTheme="minorHAnsi" w:hAnsiTheme="minorHAnsi" w:cstheme="minorHAnsi"/>
        <w:color w:val="218DCB"/>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CE359" w14:textId="77777777" w:rsidR="00781BE3" w:rsidRDefault="00781BE3" w:rsidP="00A00F75">
      <w:r>
        <w:separator/>
      </w:r>
    </w:p>
  </w:footnote>
  <w:footnote w:type="continuationSeparator" w:id="0">
    <w:p w14:paraId="697F5C19" w14:textId="77777777" w:rsidR="00781BE3" w:rsidRDefault="00781BE3" w:rsidP="00A00F75">
      <w:r>
        <w:continuationSeparator/>
      </w:r>
    </w:p>
  </w:footnote>
  <w:footnote w:type="continuationNotice" w:id="1">
    <w:p w14:paraId="6B05519D" w14:textId="77777777" w:rsidR="00781BE3" w:rsidRDefault="00781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0018" w14:textId="23A0A193" w:rsidR="004D2C9C" w:rsidRDefault="004D2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960" w:type="dxa"/>
      <w:tblLook w:val="04A0" w:firstRow="1" w:lastRow="0" w:firstColumn="1" w:lastColumn="0" w:noHBand="0" w:noVBand="1"/>
    </w:tblPr>
    <w:tblGrid>
      <w:gridCol w:w="3049"/>
      <w:gridCol w:w="9911"/>
    </w:tblGrid>
    <w:tr w:rsidR="005C444B" w:rsidRPr="00D03DAB" w14:paraId="58CB29CC" w14:textId="77777777" w:rsidTr="005C444B">
      <w:trPr>
        <w:trHeight w:val="450"/>
      </w:trPr>
      <w:tc>
        <w:tcPr>
          <w:tcW w:w="3049" w:type="dxa"/>
          <w:vMerge w:val="restart"/>
          <w:shd w:val="clear" w:color="auto" w:fill="auto"/>
          <w:vAlign w:val="center"/>
        </w:tcPr>
        <w:p w14:paraId="1E0B00F3" w14:textId="77777777" w:rsidR="005C444B" w:rsidRPr="00847B31" w:rsidRDefault="005C444B" w:rsidP="00B621B2">
          <w:pPr>
            <w:rPr>
              <w:smallCaps/>
              <w:highlight w:val="cyan"/>
            </w:rPr>
          </w:pPr>
          <w:r>
            <w:rPr>
              <w:noProof/>
            </w:rPr>
            <w:drawing>
              <wp:inline distT="0" distB="0" distL="0" distR="0" wp14:anchorId="6A1F4862" wp14:editId="4D28B4E3">
                <wp:extent cx="1799112" cy="556373"/>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560" cy="565480"/>
                        </a:xfrm>
                        <a:prstGeom prst="rect">
                          <a:avLst/>
                        </a:prstGeom>
                        <a:noFill/>
                        <a:ln>
                          <a:noFill/>
                        </a:ln>
                      </pic:spPr>
                    </pic:pic>
                  </a:graphicData>
                </a:graphic>
              </wp:inline>
            </w:drawing>
          </w:r>
        </w:p>
      </w:tc>
      <w:tc>
        <w:tcPr>
          <w:tcW w:w="9911" w:type="dxa"/>
          <w:tcBorders>
            <w:bottom w:val="single" w:sz="18" w:space="0" w:color="218DCB"/>
          </w:tcBorders>
          <w:shd w:val="clear" w:color="auto" w:fill="auto"/>
          <w:vAlign w:val="bottom"/>
        </w:tcPr>
        <w:p w14:paraId="27303C53" w14:textId="77777777" w:rsidR="005C444B" w:rsidRPr="00D03DAB" w:rsidRDefault="005C444B" w:rsidP="00B621B2">
          <w:pPr>
            <w:jc w:val="right"/>
            <w:rPr>
              <w:rFonts w:ascii="Calibri" w:hAnsi="Calibri" w:cs="Calibri"/>
              <w:b/>
              <w:caps/>
              <w:color w:val="218DCB"/>
            </w:rPr>
          </w:pPr>
        </w:p>
        <w:p w14:paraId="00871206" w14:textId="19DE341F" w:rsidR="005C444B" w:rsidRPr="00D03DAB" w:rsidRDefault="008330AC" w:rsidP="00B621B2">
          <w:pPr>
            <w:jc w:val="center"/>
            <w:rPr>
              <w:rFonts w:ascii="Calibri" w:hAnsi="Calibri" w:cs="Calibri"/>
              <w:b/>
              <w:caps/>
              <w:color w:val="218DCB"/>
            </w:rPr>
          </w:pPr>
          <w:r>
            <w:rPr>
              <w:rFonts w:ascii="Calibri" w:hAnsi="Calibri" w:cs="Calibri"/>
              <w:b/>
              <w:caps/>
              <w:color w:val="218DCB"/>
            </w:rPr>
            <w:t>Maternity and family planning services and supplies</w:t>
          </w:r>
        </w:p>
      </w:tc>
    </w:tr>
    <w:tr w:rsidR="005C444B" w:rsidRPr="00D03DAB" w14:paraId="19A1AAB9" w14:textId="77777777" w:rsidTr="005C444B">
      <w:trPr>
        <w:trHeight w:val="25"/>
      </w:trPr>
      <w:tc>
        <w:tcPr>
          <w:tcW w:w="3049" w:type="dxa"/>
          <w:vMerge/>
          <w:shd w:val="clear" w:color="auto" w:fill="auto"/>
        </w:tcPr>
        <w:p w14:paraId="050F6B1A" w14:textId="77777777" w:rsidR="005C444B" w:rsidRPr="00847B31" w:rsidRDefault="005C444B" w:rsidP="00B621B2">
          <w:pPr>
            <w:rPr>
              <w:smallCaps/>
              <w:highlight w:val="cyan"/>
            </w:rPr>
          </w:pPr>
        </w:p>
      </w:tc>
      <w:tc>
        <w:tcPr>
          <w:tcW w:w="9911" w:type="dxa"/>
          <w:tcBorders>
            <w:top w:val="single" w:sz="18" w:space="0" w:color="218DCB"/>
          </w:tcBorders>
          <w:shd w:val="clear" w:color="auto" w:fill="auto"/>
        </w:tcPr>
        <w:p w14:paraId="3B8C8A47" w14:textId="57DD1CAF" w:rsidR="005C444B" w:rsidRPr="00D03DAB" w:rsidRDefault="008330AC" w:rsidP="00B621B2">
          <w:pPr>
            <w:jc w:val="center"/>
            <w:rPr>
              <w:rFonts w:ascii="Calibri" w:hAnsi="Calibri" w:cs="Calibri"/>
              <w:b/>
              <w:caps/>
              <w:color w:val="218DCB"/>
            </w:rPr>
          </w:pPr>
          <w:r>
            <w:rPr>
              <w:rFonts w:ascii="Calibri" w:hAnsi="Calibri" w:cs="Calibri"/>
              <w:b/>
              <w:caps/>
              <w:color w:val="218DCB"/>
            </w:rPr>
            <w:t>program</w:t>
          </w:r>
          <w:r w:rsidR="005C444B">
            <w:rPr>
              <w:rFonts w:ascii="Calibri" w:hAnsi="Calibri" w:cs="Calibri"/>
              <w:b/>
              <w:caps/>
              <w:color w:val="218DCB"/>
            </w:rPr>
            <w:t xml:space="preserve"> </w:t>
          </w:r>
          <w:r w:rsidR="00EE3CF8">
            <w:rPr>
              <w:rFonts w:ascii="Calibri" w:hAnsi="Calibri" w:cs="Calibri"/>
              <w:b/>
              <w:caps/>
              <w:color w:val="218DCB"/>
            </w:rPr>
            <w:t xml:space="preserve">PLAN </w:t>
          </w:r>
          <w:r w:rsidR="005C444B">
            <w:rPr>
              <w:rFonts w:ascii="Calibri" w:hAnsi="Calibri" w:cs="Calibri"/>
              <w:b/>
              <w:caps/>
              <w:color w:val="218DCB"/>
            </w:rPr>
            <w:t>CHECKLIST</w:t>
          </w:r>
        </w:p>
      </w:tc>
    </w:tr>
  </w:tbl>
  <w:p w14:paraId="25177BF4" w14:textId="6463503A" w:rsidR="00E572BA" w:rsidRPr="005C444B" w:rsidRDefault="00E572BA">
    <w:pPr>
      <w:pStyle w:val="Header"/>
      <w:rPr>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3FC9" w14:textId="12500A1C" w:rsidR="004D2C9C" w:rsidRDefault="004D2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79C9"/>
    <w:multiLevelType w:val="hybridMultilevel"/>
    <w:tmpl w:val="D12C2700"/>
    <w:lvl w:ilvl="0" w:tplc="04090019">
      <w:start w:val="2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6266B"/>
    <w:multiLevelType w:val="hybridMultilevel"/>
    <w:tmpl w:val="1D826026"/>
    <w:lvl w:ilvl="0" w:tplc="8E98FFA6">
      <w:start w:val="3"/>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67610"/>
    <w:multiLevelType w:val="hybridMultilevel"/>
    <w:tmpl w:val="E2DA6588"/>
    <w:lvl w:ilvl="0" w:tplc="1EE4915E">
      <w:start w:val="1"/>
      <w:numFmt w:val="decimal"/>
      <w:lvlText w:val="%1."/>
      <w:lvlJc w:val="center"/>
      <w:pPr>
        <w:ind w:left="1356" w:hanging="360"/>
      </w:pPr>
      <w:rPr>
        <w:rFonts w:hint="default"/>
        <w:b w:val="0"/>
        <w:color w:val="auto"/>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 w15:restartNumberingAfterBreak="0">
    <w:nsid w:val="106BACD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6B3A14"/>
    <w:multiLevelType w:val="hybridMultilevel"/>
    <w:tmpl w:val="90E8C13E"/>
    <w:lvl w:ilvl="0" w:tplc="E6782C2C">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D920F4"/>
    <w:multiLevelType w:val="hybridMultilevel"/>
    <w:tmpl w:val="CE24BA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084C9C"/>
    <w:multiLevelType w:val="hybridMultilevel"/>
    <w:tmpl w:val="E2DA6588"/>
    <w:lvl w:ilvl="0" w:tplc="FFFFFFFF">
      <w:start w:val="1"/>
      <w:numFmt w:val="decimal"/>
      <w:lvlText w:val="%1."/>
      <w:lvlJc w:val="center"/>
      <w:pPr>
        <w:ind w:left="1356" w:hanging="360"/>
      </w:pPr>
      <w:rPr>
        <w:rFonts w:hint="default"/>
        <w:b w:val="0"/>
        <w:color w:val="auto"/>
      </w:rPr>
    </w:lvl>
    <w:lvl w:ilvl="1" w:tplc="FFFFFFFF" w:tentative="1">
      <w:start w:val="1"/>
      <w:numFmt w:val="lowerLetter"/>
      <w:lvlText w:val="%2."/>
      <w:lvlJc w:val="left"/>
      <w:pPr>
        <w:ind w:left="2076" w:hanging="360"/>
      </w:pPr>
    </w:lvl>
    <w:lvl w:ilvl="2" w:tplc="FFFFFFFF" w:tentative="1">
      <w:start w:val="1"/>
      <w:numFmt w:val="lowerRoman"/>
      <w:lvlText w:val="%3."/>
      <w:lvlJc w:val="right"/>
      <w:pPr>
        <w:ind w:left="2796" w:hanging="180"/>
      </w:pPr>
    </w:lvl>
    <w:lvl w:ilvl="3" w:tplc="FFFFFFFF" w:tentative="1">
      <w:start w:val="1"/>
      <w:numFmt w:val="decimal"/>
      <w:lvlText w:val="%4."/>
      <w:lvlJc w:val="left"/>
      <w:pPr>
        <w:ind w:left="3516" w:hanging="360"/>
      </w:pPr>
    </w:lvl>
    <w:lvl w:ilvl="4" w:tplc="FFFFFFFF" w:tentative="1">
      <w:start w:val="1"/>
      <w:numFmt w:val="lowerLetter"/>
      <w:lvlText w:val="%5."/>
      <w:lvlJc w:val="left"/>
      <w:pPr>
        <w:ind w:left="4236" w:hanging="360"/>
      </w:pPr>
    </w:lvl>
    <w:lvl w:ilvl="5" w:tplc="FFFFFFFF" w:tentative="1">
      <w:start w:val="1"/>
      <w:numFmt w:val="lowerRoman"/>
      <w:lvlText w:val="%6."/>
      <w:lvlJc w:val="right"/>
      <w:pPr>
        <w:ind w:left="4956" w:hanging="180"/>
      </w:pPr>
    </w:lvl>
    <w:lvl w:ilvl="6" w:tplc="FFFFFFFF" w:tentative="1">
      <w:start w:val="1"/>
      <w:numFmt w:val="decimal"/>
      <w:lvlText w:val="%7."/>
      <w:lvlJc w:val="left"/>
      <w:pPr>
        <w:ind w:left="5676" w:hanging="360"/>
      </w:pPr>
    </w:lvl>
    <w:lvl w:ilvl="7" w:tplc="FFFFFFFF" w:tentative="1">
      <w:start w:val="1"/>
      <w:numFmt w:val="lowerLetter"/>
      <w:lvlText w:val="%8."/>
      <w:lvlJc w:val="left"/>
      <w:pPr>
        <w:ind w:left="6396" w:hanging="360"/>
      </w:pPr>
    </w:lvl>
    <w:lvl w:ilvl="8" w:tplc="FFFFFFFF" w:tentative="1">
      <w:start w:val="1"/>
      <w:numFmt w:val="lowerRoman"/>
      <w:lvlText w:val="%9."/>
      <w:lvlJc w:val="right"/>
      <w:pPr>
        <w:ind w:left="7116" w:hanging="180"/>
      </w:pPr>
    </w:lvl>
  </w:abstractNum>
  <w:abstractNum w:abstractNumId="7" w15:restartNumberingAfterBreak="0">
    <w:nsid w:val="232F7EAF"/>
    <w:multiLevelType w:val="hybridMultilevel"/>
    <w:tmpl w:val="29E20D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63D91"/>
    <w:multiLevelType w:val="hybridMultilevel"/>
    <w:tmpl w:val="3D16FB28"/>
    <w:lvl w:ilvl="0" w:tplc="FFFFFFFF">
      <w:start w:val="1"/>
      <w:numFmt w:val="decimal"/>
      <w:lvlText w:val="%1."/>
      <w:lvlJc w:val="left"/>
      <w:pPr>
        <w:ind w:left="360" w:hanging="360"/>
      </w:pPr>
      <w:rPr>
        <w:rFonts w:asciiTheme="minorHAnsi" w:eastAsia="Times New Roman" w:hAnsiTheme="minorHAnsi" w:cstheme="minorHAnsi" w:hint="default"/>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5723E88"/>
    <w:multiLevelType w:val="hybridMultilevel"/>
    <w:tmpl w:val="3D16FB28"/>
    <w:lvl w:ilvl="0" w:tplc="FFFFFFFF">
      <w:start w:val="1"/>
      <w:numFmt w:val="decimal"/>
      <w:lvlText w:val="%1."/>
      <w:lvlJc w:val="left"/>
      <w:pPr>
        <w:ind w:left="360" w:hanging="360"/>
      </w:pPr>
      <w:rPr>
        <w:rFonts w:asciiTheme="minorHAnsi" w:eastAsia="Times New Roman" w:hAnsiTheme="minorHAnsi" w:cstheme="minorHAnsi" w:hint="default"/>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5B95685"/>
    <w:multiLevelType w:val="hybridMultilevel"/>
    <w:tmpl w:val="3D16FB28"/>
    <w:lvl w:ilvl="0" w:tplc="FFFFFFFF">
      <w:start w:val="1"/>
      <w:numFmt w:val="decimal"/>
      <w:lvlText w:val="%1."/>
      <w:lvlJc w:val="left"/>
      <w:pPr>
        <w:ind w:left="360" w:hanging="360"/>
      </w:pPr>
      <w:rPr>
        <w:rFonts w:asciiTheme="minorHAnsi" w:eastAsia="Times New Roman" w:hAnsiTheme="minorHAnsi" w:cstheme="minorHAnsi" w:hint="default"/>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CC1B15"/>
    <w:multiLevelType w:val="hybridMultilevel"/>
    <w:tmpl w:val="D42C3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75A57"/>
    <w:multiLevelType w:val="hybridMultilevel"/>
    <w:tmpl w:val="342CF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74395"/>
    <w:multiLevelType w:val="hybridMultilevel"/>
    <w:tmpl w:val="E2F43118"/>
    <w:lvl w:ilvl="0" w:tplc="E6782C2C">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5D0FF7"/>
    <w:multiLevelType w:val="hybridMultilevel"/>
    <w:tmpl w:val="15B63A98"/>
    <w:lvl w:ilvl="0" w:tplc="264A27BC">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F11406"/>
    <w:multiLevelType w:val="hybridMultilevel"/>
    <w:tmpl w:val="68CE305A"/>
    <w:lvl w:ilvl="0" w:tplc="FFFFFFFF">
      <w:start w:val="2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943962"/>
    <w:multiLevelType w:val="hybridMultilevel"/>
    <w:tmpl w:val="68CE305A"/>
    <w:lvl w:ilvl="0" w:tplc="04090019">
      <w:start w:val="2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998B1"/>
    <w:multiLevelType w:val="hybridMultilevel"/>
    <w:tmpl w:val="FFFFFFFF"/>
    <w:lvl w:ilvl="0" w:tplc="F40291CC">
      <w:start w:val="1"/>
      <w:numFmt w:val="lowerLetter"/>
      <w:lvlText w:val="%1."/>
      <w:lvlJc w:val="left"/>
      <w:pPr>
        <w:ind w:left="720" w:hanging="360"/>
      </w:pPr>
    </w:lvl>
    <w:lvl w:ilvl="1" w:tplc="C2A0170C">
      <w:start w:val="1"/>
      <w:numFmt w:val="lowerLetter"/>
      <w:lvlText w:val="%2."/>
      <w:lvlJc w:val="left"/>
      <w:pPr>
        <w:ind w:left="1440" w:hanging="360"/>
      </w:pPr>
    </w:lvl>
    <w:lvl w:ilvl="2" w:tplc="72BAE8D0">
      <w:start w:val="1"/>
      <w:numFmt w:val="lowerRoman"/>
      <w:lvlText w:val="%3."/>
      <w:lvlJc w:val="right"/>
      <w:pPr>
        <w:ind w:left="2160" w:hanging="180"/>
      </w:pPr>
    </w:lvl>
    <w:lvl w:ilvl="3" w:tplc="36B29D2C">
      <w:start w:val="1"/>
      <w:numFmt w:val="decimal"/>
      <w:lvlText w:val="%4."/>
      <w:lvlJc w:val="left"/>
      <w:pPr>
        <w:ind w:left="2880" w:hanging="360"/>
      </w:pPr>
    </w:lvl>
    <w:lvl w:ilvl="4" w:tplc="14F8CAAE">
      <w:start w:val="1"/>
      <w:numFmt w:val="lowerLetter"/>
      <w:lvlText w:val="%5."/>
      <w:lvlJc w:val="left"/>
      <w:pPr>
        <w:ind w:left="3600" w:hanging="360"/>
      </w:pPr>
    </w:lvl>
    <w:lvl w:ilvl="5" w:tplc="32929302">
      <w:start w:val="1"/>
      <w:numFmt w:val="lowerRoman"/>
      <w:lvlText w:val="%6."/>
      <w:lvlJc w:val="right"/>
      <w:pPr>
        <w:ind w:left="4320" w:hanging="180"/>
      </w:pPr>
    </w:lvl>
    <w:lvl w:ilvl="6" w:tplc="35B83FB2">
      <w:start w:val="1"/>
      <w:numFmt w:val="decimal"/>
      <w:lvlText w:val="%7."/>
      <w:lvlJc w:val="left"/>
      <w:pPr>
        <w:ind w:left="5040" w:hanging="360"/>
      </w:pPr>
    </w:lvl>
    <w:lvl w:ilvl="7" w:tplc="229AEB20">
      <w:start w:val="1"/>
      <w:numFmt w:val="lowerLetter"/>
      <w:lvlText w:val="%8."/>
      <w:lvlJc w:val="left"/>
      <w:pPr>
        <w:ind w:left="5760" w:hanging="360"/>
      </w:pPr>
    </w:lvl>
    <w:lvl w:ilvl="8" w:tplc="F172388E">
      <w:start w:val="1"/>
      <w:numFmt w:val="lowerRoman"/>
      <w:lvlText w:val="%9."/>
      <w:lvlJc w:val="right"/>
      <w:pPr>
        <w:ind w:left="6480" w:hanging="180"/>
      </w:pPr>
    </w:lvl>
  </w:abstractNum>
  <w:abstractNum w:abstractNumId="18" w15:restartNumberingAfterBreak="0">
    <w:nsid w:val="5654276E"/>
    <w:multiLevelType w:val="hybridMultilevel"/>
    <w:tmpl w:val="E04449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3C6657"/>
    <w:multiLevelType w:val="hybridMultilevel"/>
    <w:tmpl w:val="3D16FB28"/>
    <w:lvl w:ilvl="0" w:tplc="B348895E">
      <w:start w:val="1"/>
      <w:numFmt w:val="decimal"/>
      <w:lvlText w:val="%1."/>
      <w:lvlJc w:val="left"/>
      <w:pPr>
        <w:ind w:left="360" w:hanging="360"/>
      </w:pPr>
      <w:rPr>
        <w:rFonts w:asciiTheme="minorHAnsi" w:eastAsia="Times New Roman" w:hAnsiTheme="minorHAnsi" w:cstheme="minorHAnsi"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B12792"/>
    <w:multiLevelType w:val="hybridMultilevel"/>
    <w:tmpl w:val="3D16FB28"/>
    <w:lvl w:ilvl="0" w:tplc="FFFFFFFF">
      <w:start w:val="1"/>
      <w:numFmt w:val="decimal"/>
      <w:lvlText w:val="%1."/>
      <w:lvlJc w:val="left"/>
      <w:pPr>
        <w:ind w:left="360" w:hanging="360"/>
      </w:pPr>
      <w:rPr>
        <w:rFonts w:asciiTheme="minorHAnsi" w:eastAsia="Times New Roman" w:hAnsiTheme="minorHAnsi" w:cstheme="minorHAnsi" w:hint="default"/>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6686D6D"/>
    <w:multiLevelType w:val="hybridMultilevel"/>
    <w:tmpl w:val="45043784"/>
    <w:lvl w:ilvl="0" w:tplc="300ECE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D4795"/>
    <w:multiLevelType w:val="hybridMultilevel"/>
    <w:tmpl w:val="9DB229A4"/>
    <w:lvl w:ilvl="0" w:tplc="D0A6E6E6">
      <w:start w:val="1"/>
      <w:numFmt w:val="lowerLetter"/>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26999"/>
    <w:multiLevelType w:val="hybridMultilevel"/>
    <w:tmpl w:val="718679EC"/>
    <w:lvl w:ilvl="0" w:tplc="FFFFFFFF">
      <w:start w:val="1"/>
      <w:numFmt w:val="lowerLetter"/>
      <w:lvlText w:val="%1."/>
      <w:lvlJc w:val="left"/>
      <w:pPr>
        <w:ind w:left="720" w:hanging="360"/>
      </w:pPr>
      <w:rPr>
        <w:rFonts w:asciiTheme="minorHAnsi" w:hAnsiTheme="minorHAnsi" w:cstheme="minorHAnsi" w:hint="default"/>
        <w:sz w:val="22"/>
        <w:szCs w:val="22"/>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1A61B2"/>
    <w:multiLevelType w:val="hybridMultilevel"/>
    <w:tmpl w:val="3D16FB28"/>
    <w:lvl w:ilvl="0" w:tplc="FFFFFFFF">
      <w:start w:val="1"/>
      <w:numFmt w:val="decimal"/>
      <w:lvlText w:val="%1."/>
      <w:lvlJc w:val="left"/>
      <w:pPr>
        <w:ind w:left="360" w:hanging="360"/>
      </w:pPr>
      <w:rPr>
        <w:rFonts w:asciiTheme="minorHAnsi" w:eastAsia="Times New Roman" w:hAnsiTheme="minorHAnsi" w:cstheme="minorHAnsi" w:hint="default"/>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C16382B"/>
    <w:multiLevelType w:val="hybridMultilevel"/>
    <w:tmpl w:val="3D16FB28"/>
    <w:lvl w:ilvl="0" w:tplc="FFFFFFFF">
      <w:start w:val="1"/>
      <w:numFmt w:val="decimal"/>
      <w:lvlText w:val="%1."/>
      <w:lvlJc w:val="left"/>
      <w:pPr>
        <w:ind w:left="360" w:hanging="360"/>
      </w:pPr>
      <w:rPr>
        <w:rFonts w:asciiTheme="minorHAnsi" w:eastAsia="Times New Roman" w:hAnsiTheme="minorHAnsi" w:cstheme="minorHAnsi" w:hint="default"/>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87398441">
    <w:abstractNumId w:val="14"/>
  </w:num>
  <w:num w:numId="2" w16cid:durableId="505093089">
    <w:abstractNumId w:val="12"/>
  </w:num>
  <w:num w:numId="3" w16cid:durableId="766389671">
    <w:abstractNumId w:val="22"/>
  </w:num>
  <w:num w:numId="4" w16cid:durableId="204759880">
    <w:abstractNumId w:val="1"/>
  </w:num>
  <w:num w:numId="5" w16cid:durableId="2066759069">
    <w:abstractNumId w:val="21"/>
  </w:num>
  <w:num w:numId="6" w16cid:durableId="1754546497">
    <w:abstractNumId w:val="7"/>
  </w:num>
  <w:num w:numId="7" w16cid:durableId="257099639">
    <w:abstractNumId w:val="3"/>
  </w:num>
  <w:num w:numId="8" w16cid:durableId="167255301">
    <w:abstractNumId w:val="17"/>
  </w:num>
  <w:num w:numId="9" w16cid:durableId="185215887">
    <w:abstractNumId w:val="16"/>
  </w:num>
  <w:num w:numId="10" w16cid:durableId="1491946563">
    <w:abstractNumId w:val="15"/>
  </w:num>
  <w:num w:numId="11" w16cid:durableId="188372096">
    <w:abstractNumId w:val="0"/>
  </w:num>
  <w:num w:numId="12" w16cid:durableId="1161581549">
    <w:abstractNumId w:val="11"/>
  </w:num>
  <w:num w:numId="13" w16cid:durableId="664748804">
    <w:abstractNumId w:val="2"/>
  </w:num>
  <w:num w:numId="14" w16cid:durableId="1167673262">
    <w:abstractNumId w:val="6"/>
  </w:num>
  <w:num w:numId="15" w16cid:durableId="1641034665">
    <w:abstractNumId w:val="4"/>
  </w:num>
  <w:num w:numId="16" w16cid:durableId="1304971229">
    <w:abstractNumId w:val="13"/>
  </w:num>
  <w:num w:numId="17" w16cid:durableId="1500972159">
    <w:abstractNumId w:val="23"/>
  </w:num>
  <w:num w:numId="18" w16cid:durableId="1819495132">
    <w:abstractNumId w:val="5"/>
  </w:num>
  <w:num w:numId="19" w16cid:durableId="863136446">
    <w:abstractNumId w:val="18"/>
  </w:num>
  <w:num w:numId="20" w16cid:durableId="2089889093">
    <w:abstractNumId w:val="19"/>
  </w:num>
  <w:num w:numId="21" w16cid:durableId="506212460">
    <w:abstractNumId w:val="9"/>
  </w:num>
  <w:num w:numId="22" w16cid:durableId="813910046">
    <w:abstractNumId w:val="24"/>
  </w:num>
  <w:num w:numId="23" w16cid:durableId="1215579507">
    <w:abstractNumId w:val="20"/>
  </w:num>
  <w:num w:numId="24" w16cid:durableId="461731526">
    <w:abstractNumId w:val="8"/>
  </w:num>
  <w:num w:numId="25" w16cid:durableId="80032609">
    <w:abstractNumId w:val="10"/>
  </w:num>
  <w:num w:numId="26" w16cid:durableId="957138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27"/>
    <w:rsid w:val="00000DC8"/>
    <w:rsid w:val="00005E8A"/>
    <w:rsid w:val="000071BC"/>
    <w:rsid w:val="000115AA"/>
    <w:rsid w:val="0001239D"/>
    <w:rsid w:val="00014972"/>
    <w:rsid w:val="00015853"/>
    <w:rsid w:val="0001746B"/>
    <w:rsid w:val="000176BC"/>
    <w:rsid w:val="00021B75"/>
    <w:rsid w:val="000224BB"/>
    <w:rsid w:val="00022547"/>
    <w:rsid w:val="000229CA"/>
    <w:rsid w:val="00023372"/>
    <w:rsid w:val="0002347A"/>
    <w:rsid w:val="00023651"/>
    <w:rsid w:val="00024B8C"/>
    <w:rsid w:val="0002724F"/>
    <w:rsid w:val="00037468"/>
    <w:rsid w:val="00041884"/>
    <w:rsid w:val="000421C2"/>
    <w:rsid w:val="000423DF"/>
    <w:rsid w:val="000426BD"/>
    <w:rsid w:val="0004325E"/>
    <w:rsid w:val="00044BE3"/>
    <w:rsid w:val="00044EB0"/>
    <w:rsid w:val="00045261"/>
    <w:rsid w:val="00045DBD"/>
    <w:rsid w:val="000470A0"/>
    <w:rsid w:val="000479DA"/>
    <w:rsid w:val="000548C7"/>
    <w:rsid w:val="00056371"/>
    <w:rsid w:val="0005676C"/>
    <w:rsid w:val="00056E56"/>
    <w:rsid w:val="00057D81"/>
    <w:rsid w:val="00060336"/>
    <w:rsid w:val="000605F6"/>
    <w:rsid w:val="0006477A"/>
    <w:rsid w:val="0006544F"/>
    <w:rsid w:val="00067E50"/>
    <w:rsid w:val="000713A5"/>
    <w:rsid w:val="00073C5E"/>
    <w:rsid w:val="00074221"/>
    <w:rsid w:val="00074D00"/>
    <w:rsid w:val="00074E8F"/>
    <w:rsid w:val="00075B12"/>
    <w:rsid w:val="00075B3F"/>
    <w:rsid w:val="000770EE"/>
    <w:rsid w:val="00077B84"/>
    <w:rsid w:val="00080030"/>
    <w:rsid w:val="000813ED"/>
    <w:rsid w:val="00082A55"/>
    <w:rsid w:val="00084BF0"/>
    <w:rsid w:val="0008566C"/>
    <w:rsid w:val="00086A40"/>
    <w:rsid w:val="000924DE"/>
    <w:rsid w:val="0009258A"/>
    <w:rsid w:val="00097225"/>
    <w:rsid w:val="000A2184"/>
    <w:rsid w:val="000A421C"/>
    <w:rsid w:val="000A4B57"/>
    <w:rsid w:val="000A538F"/>
    <w:rsid w:val="000A53AA"/>
    <w:rsid w:val="000A54BF"/>
    <w:rsid w:val="000A5CC1"/>
    <w:rsid w:val="000A5D98"/>
    <w:rsid w:val="000A7347"/>
    <w:rsid w:val="000B2BD7"/>
    <w:rsid w:val="000B40CF"/>
    <w:rsid w:val="000B45C9"/>
    <w:rsid w:val="000B4AF6"/>
    <w:rsid w:val="000B590C"/>
    <w:rsid w:val="000B5B36"/>
    <w:rsid w:val="000B6DF7"/>
    <w:rsid w:val="000C3F23"/>
    <w:rsid w:val="000C709F"/>
    <w:rsid w:val="000D28C4"/>
    <w:rsid w:val="000D331C"/>
    <w:rsid w:val="000D5D81"/>
    <w:rsid w:val="000D6A5F"/>
    <w:rsid w:val="000E1B82"/>
    <w:rsid w:val="000E4526"/>
    <w:rsid w:val="000E4D95"/>
    <w:rsid w:val="000F15DA"/>
    <w:rsid w:val="000F236A"/>
    <w:rsid w:val="000F263E"/>
    <w:rsid w:val="000F304C"/>
    <w:rsid w:val="000F507F"/>
    <w:rsid w:val="000F532B"/>
    <w:rsid w:val="000F722E"/>
    <w:rsid w:val="00101AE6"/>
    <w:rsid w:val="0010309C"/>
    <w:rsid w:val="0010670B"/>
    <w:rsid w:val="001073A1"/>
    <w:rsid w:val="0011368E"/>
    <w:rsid w:val="0011447D"/>
    <w:rsid w:val="00114B4E"/>
    <w:rsid w:val="00116612"/>
    <w:rsid w:val="00117C8C"/>
    <w:rsid w:val="00120050"/>
    <w:rsid w:val="00120C30"/>
    <w:rsid w:val="001221F2"/>
    <w:rsid w:val="00122713"/>
    <w:rsid w:val="001231F5"/>
    <w:rsid w:val="00124254"/>
    <w:rsid w:val="00124FE9"/>
    <w:rsid w:val="00125E24"/>
    <w:rsid w:val="001269D2"/>
    <w:rsid w:val="00127282"/>
    <w:rsid w:val="00130131"/>
    <w:rsid w:val="001310A8"/>
    <w:rsid w:val="0013176F"/>
    <w:rsid w:val="00132C68"/>
    <w:rsid w:val="0013336A"/>
    <w:rsid w:val="00134F12"/>
    <w:rsid w:val="00136A9A"/>
    <w:rsid w:val="001372EF"/>
    <w:rsid w:val="00140FF8"/>
    <w:rsid w:val="00141162"/>
    <w:rsid w:val="001418A6"/>
    <w:rsid w:val="00141D76"/>
    <w:rsid w:val="00144E6B"/>
    <w:rsid w:val="00147ABD"/>
    <w:rsid w:val="00150656"/>
    <w:rsid w:val="00152184"/>
    <w:rsid w:val="001523C7"/>
    <w:rsid w:val="00153629"/>
    <w:rsid w:val="00154532"/>
    <w:rsid w:val="00154875"/>
    <w:rsid w:val="001549BD"/>
    <w:rsid w:val="001549C1"/>
    <w:rsid w:val="00155178"/>
    <w:rsid w:val="00157079"/>
    <w:rsid w:val="001573F5"/>
    <w:rsid w:val="001601BB"/>
    <w:rsid w:val="0016243D"/>
    <w:rsid w:val="001645BF"/>
    <w:rsid w:val="00171C8E"/>
    <w:rsid w:val="00172BD5"/>
    <w:rsid w:val="001744EC"/>
    <w:rsid w:val="00175DCB"/>
    <w:rsid w:val="00177D7A"/>
    <w:rsid w:val="00177F88"/>
    <w:rsid w:val="0018118C"/>
    <w:rsid w:val="001815AC"/>
    <w:rsid w:val="00181AA0"/>
    <w:rsid w:val="0018206F"/>
    <w:rsid w:val="00182314"/>
    <w:rsid w:val="001830C3"/>
    <w:rsid w:val="00184145"/>
    <w:rsid w:val="001843F9"/>
    <w:rsid w:val="00186ED7"/>
    <w:rsid w:val="00187EDC"/>
    <w:rsid w:val="00191104"/>
    <w:rsid w:val="00193760"/>
    <w:rsid w:val="00193858"/>
    <w:rsid w:val="001951B4"/>
    <w:rsid w:val="00195EE5"/>
    <w:rsid w:val="00196EA5"/>
    <w:rsid w:val="0019786E"/>
    <w:rsid w:val="00197CF9"/>
    <w:rsid w:val="001A005B"/>
    <w:rsid w:val="001A3E79"/>
    <w:rsid w:val="001A49F2"/>
    <w:rsid w:val="001A4E5B"/>
    <w:rsid w:val="001A6594"/>
    <w:rsid w:val="001A7186"/>
    <w:rsid w:val="001B09E6"/>
    <w:rsid w:val="001B28BC"/>
    <w:rsid w:val="001B3780"/>
    <w:rsid w:val="001B39AD"/>
    <w:rsid w:val="001B4CF3"/>
    <w:rsid w:val="001B641B"/>
    <w:rsid w:val="001C3311"/>
    <w:rsid w:val="001C3EC2"/>
    <w:rsid w:val="001C5F63"/>
    <w:rsid w:val="001C667F"/>
    <w:rsid w:val="001C6A47"/>
    <w:rsid w:val="001C6CE0"/>
    <w:rsid w:val="001D2560"/>
    <w:rsid w:val="001D2D60"/>
    <w:rsid w:val="001D5080"/>
    <w:rsid w:val="001D5AD7"/>
    <w:rsid w:val="001D7658"/>
    <w:rsid w:val="001D78C9"/>
    <w:rsid w:val="001E01F1"/>
    <w:rsid w:val="001E2823"/>
    <w:rsid w:val="001E3772"/>
    <w:rsid w:val="001F4AD1"/>
    <w:rsid w:val="001F551E"/>
    <w:rsid w:val="001F58A9"/>
    <w:rsid w:val="001F73D9"/>
    <w:rsid w:val="00200250"/>
    <w:rsid w:val="002016B2"/>
    <w:rsid w:val="00201ED0"/>
    <w:rsid w:val="0020707F"/>
    <w:rsid w:val="00210990"/>
    <w:rsid w:val="00212FFF"/>
    <w:rsid w:val="00213BDC"/>
    <w:rsid w:val="002145F8"/>
    <w:rsid w:val="00215D61"/>
    <w:rsid w:val="00216913"/>
    <w:rsid w:val="002176BE"/>
    <w:rsid w:val="0022204C"/>
    <w:rsid w:val="00225242"/>
    <w:rsid w:val="00227739"/>
    <w:rsid w:val="00227F52"/>
    <w:rsid w:val="00231F75"/>
    <w:rsid w:val="0023318C"/>
    <w:rsid w:val="00233F54"/>
    <w:rsid w:val="002347DA"/>
    <w:rsid w:val="002360FA"/>
    <w:rsid w:val="002362DF"/>
    <w:rsid w:val="00236E31"/>
    <w:rsid w:val="002370AA"/>
    <w:rsid w:val="00241A21"/>
    <w:rsid w:val="00241C41"/>
    <w:rsid w:val="00242DD3"/>
    <w:rsid w:val="00242E3B"/>
    <w:rsid w:val="00242ED4"/>
    <w:rsid w:val="0024432E"/>
    <w:rsid w:val="00245DCE"/>
    <w:rsid w:val="00246E29"/>
    <w:rsid w:val="0024724E"/>
    <w:rsid w:val="0025054B"/>
    <w:rsid w:val="0025070F"/>
    <w:rsid w:val="00250A55"/>
    <w:rsid w:val="0025181F"/>
    <w:rsid w:val="00252133"/>
    <w:rsid w:val="00252C77"/>
    <w:rsid w:val="00253409"/>
    <w:rsid w:val="00253CD1"/>
    <w:rsid w:val="00254EFA"/>
    <w:rsid w:val="00255319"/>
    <w:rsid w:val="002566D3"/>
    <w:rsid w:val="00263845"/>
    <w:rsid w:val="0026742A"/>
    <w:rsid w:val="00267F0A"/>
    <w:rsid w:val="002703A1"/>
    <w:rsid w:val="00271140"/>
    <w:rsid w:val="002711C1"/>
    <w:rsid w:val="00277615"/>
    <w:rsid w:val="00277964"/>
    <w:rsid w:val="00280AAC"/>
    <w:rsid w:val="0028430C"/>
    <w:rsid w:val="00287249"/>
    <w:rsid w:val="00290D7B"/>
    <w:rsid w:val="00290E16"/>
    <w:rsid w:val="00291258"/>
    <w:rsid w:val="0029180A"/>
    <w:rsid w:val="00294EE4"/>
    <w:rsid w:val="00295618"/>
    <w:rsid w:val="002A0B0A"/>
    <w:rsid w:val="002A265C"/>
    <w:rsid w:val="002A4ABB"/>
    <w:rsid w:val="002A7214"/>
    <w:rsid w:val="002A7A9B"/>
    <w:rsid w:val="002A7C50"/>
    <w:rsid w:val="002B0F21"/>
    <w:rsid w:val="002B24BF"/>
    <w:rsid w:val="002B2F18"/>
    <w:rsid w:val="002B4988"/>
    <w:rsid w:val="002B50D9"/>
    <w:rsid w:val="002B5E2F"/>
    <w:rsid w:val="002C08AD"/>
    <w:rsid w:val="002C25DC"/>
    <w:rsid w:val="002C4354"/>
    <w:rsid w:val="002C544C"/>
    <w:rsid w:val="002C70E7"/>
    <w:rsid w:val="002D070C"/>
    <w:rsid w:val="002D1CB0"/>
    <w:rsid w:val="002D3B7C"/>
    <w:rsid w:val="002D425C"/>
    <w:rsid w:val="002D4511"/>
    <w:rsid w:val="002D65CD"/>
    <w:rsid w:val="002D7FEE"/>
    <w:rsid w:val="002E05E5"/>
    <w:rsid w:val="002E09AA"/>
    <w:rsid w:val="002E0B94"/>
    <w:rsid w:val="002E15B5"/>
    <w:rsid w:val="002E6A96"/>
    <w:rsid w:val="002E7CD6"/>
    <w:rsid w:val="002F0434"/>
    <w:rsid w:val="002F0B48"/>
    <w:rsid w:val="002F0F69"/>
    <w:rsid w:val="002F1F0E"/>
    <w:rsid w:val="002F2CE1"/>
    <w:rsid w:val="002F48A8"/>
    <w:rsid w:val="002F4F92"/>
    <w:rsid w:val="002F61DE"/>
    <w:rsid w:val="002F7BA2"/>
    <w:rsid w:val="00300C1F"/>
    <w:rsid w:val="00304D7F"/>
    <w:rsid w:val="00310876"/>
    <w:rsid w:val="00311F1E"/>
    <w:rsid w:val="00312746"/>
    <w:rsid w:val="003144A6"/>
    <w:rsid w:val="00314EDB"/>
    <w:rsid w:val="0031551C"/>
    <w:rsid w:val="00317D00"/>
    <w:rsid w:val="003204EC"/>
    <w:rsid w:val="003227C6"/>
    <w:rsid w:val="00323951"/>
    <w:rsid w:val="00323C48"/>
    <w:rsid w:val="003244C8"/>
    <w:rsid w:val="00324824"/>
    <w:rsid w:val="003253FF"/>
    <w:rsid w:val="00325E14"/>
    <w:rsid w:val="00330752"/>
    <w:rsid w:val="00332630"/>
    <w:rsid w:val="0033288C"/>
    <w:rsid w:val="003338DD"/>
    <w:rsid w:val="00334EA6"/>
    <w:rsid w:val="003353CD"/>
    <w:rsid w:val="00336787"/>
    <w:rsid w:val="00336D32"/>
    <w:rsid w:val="00336E6D"/>
    <w:rsid w:val="003375A9"/>
    <w:rsid w:val="00341BBC"/>
    <w:rsid w:val="00342448"/>
    <w:rsid w:val="00342CF3"/>
    <w:rsid w:val="003431EF"/>
    <w:rsid w:val="00343BA6"/>
    <w:rsid w:val="00343C80"/>
    <w:rsid w:val="00344034"/>
    <w:rsid w:val="00346703"/>
    <w:rsid w:val="00346FA1"/>
    <w:rsid w:val="003511A3"/>
    <w:rsid w:val="00352304"/>
    <w:rsid w:val="00353027"/>
    <w:rsid w:val="00353143"/>
    <w:rsid w:val="00355CFA"/>
    <w:rsid w:val="0035630E"/>
    <w:rsid w:val="00356C75"/>
    <w:rsid w:val="00356CD9"/>
    <w:rsid w:val="0036177B"/>
    <w:rsid w:val="003625F4"/>
    <w:rsid w:val="003640CE"/>
    <w:rsid w:val="00364220"/>
    <w:rsid w:val="00364D9D"/>
    <w:rsid w:val="00370175"/>
    <w:rsid w:val="00370348"/>
    <w:rsid w:val="0037201D"/>
    <w:rsid w:val="003723EC"/>
    <w:rsid w:val="00372F36"/>
    <w:rsid w:val="0037328F"/>
    <w:rsid w:val="00374D0F"/>
    <w:rsid w:val="0038054F"/>
    <w:rsid w:val="00382937"/>
    <w:rsid w:val="00382E0B"/>
    <w:rsid w:val="003833B9"/>
    <w:rsid w:val="00383D65"/>
    <w:rsid w:val="00384836"/>
    <w:rsid w:val="00385B15"/>
    <w:rsid w:val="00385E98"/>
    <w:rsid w:val="00387CCE"/>
    <w:rsid w:val="003916AD"/>
    <w:rsid w:val="00393E5B"/>
    <w:rsid w:val="0039551D"/>
    <w:rsid w:val="00396673"/>
    <w:rsid w:val="003975D1"/>
    <w:rsid w:val="003A0AEC"/>
    <w:rsid w:val="003A1724"/>
    <w:rsid w:val="003A44E6"/>
    <w:rsid w:val="003A6968"/>
    <w:rsid w:val="003B23CE"/>
    <w:rsid w:val="003B2D8E"/>
    <w:rsid w:val="003B2F66"/>
    <w:rsid w:val="003B4AEB"/>
    <w:rsid w:val="003B56B7"/>
    <w:rsid w:val="003B7264"/>
    <w:rsid w:val="003B779B"/>
    <w:rsid w:val="003B7FCD"/>
    <w:rsid w:val="003C1905"/>
    <w:rsid w:val="003C2B8B"/>
    <w:rsid w:val="003C2F9E"/>
    <w:rsid w:val="003C76AF"/>
    <w:rsid w:val="003C7F4A"/>
    <w:rsid w:val="003D1E75"/>
    <w:rsid w:val="003D37F3"/>
    <w:rsid w:val="003D40E9"/>
    <w:rsid w:val="003D6ED4"/>
    <w:rsid w:val="003D7AED"/>
    <w:rsid w:val="003D7BB1"/>
    <w:rsid w:val="003E0733"/>
    <w:rsid w:val="003E16D8"/>
    <w:rsid w:val="003E1966"/>
    <w:rsid w:val="003E1C17"/>
    <w:rsid w:val="003E2D48"/>
    <w:rsid w:val="003E4063"/>
    <w:rsid w:val="003E7861"/>
    <w:rsid w:val="003F251D"/>
    <w:rsid w:val="003F63FA"/>
    <w:rsid w:val="003F66A5"/>
    <w:rsid w:val="004007C2"/>
    <w:rsid w:val="0040303A"/>
    <w:rsid w:val="0040339F"/>
    <w:rsid w:val="004042BC"/>
    <w:rsid w:val="00404C88"/>
    <w:rsid w:val="004058D1"/>
    <w:rsid w:val="00411EFA"/>
    <w:rsid w:val="004133F1"/>
    <w:rsid w:val="00425E91"/>
    <w:rsid w:val="00426635"/>
    <w:rsid w:val="00426E0D"/>
    <w:rsid w:val="00427CE9"/>
    <w:rsid w:val="00431B90"/>
    <w:rsid w:val="00432FBB"/>
    <w:rsid w:val="004342CF"/>
    <w:rsid w:val="00434CD8"/>
    <w:rsid w:val="00435142"/>
    <w:rsid w:val="00435873"/>
    <w:rsid w:val="00440786"/>
    <w:rsid w:val="00441915"/>
    <w:rsid w:val="00442307"/>
    <w:rsid w:val="004457DA"/>
    <w:rsid w:val="00446BC1"/>
    <w:rsid w:val="00447080"/>
    <w:rsid w:val="0044783B"/>
    <w:rsid w:val="00452324"/>
    <w:rsid w:val="0045278D"/>
    <w:rsid w:val="00452D6B"/>
    <w:rsid w:val="0045436C"/>
    <w:rsid w:val="004545CE"/>
    <w:rsid w:val="00454911"/>
    <w:rsid w:val="00455683"/>
    <w:rsid w:val="00455829"/>
    <w:rsid w:val="00455C86"/>
    <w:rsid w:val="00456743"/>
    <w:rsid w:val="00457F78"/>
    <w:rsid w:val="00460DBE"/>
    <w:rsid w:val="0046116F"/>
    <w:rsid w:val="004616AF"/>
    <w:rsid w:val="00463A7F"/>
    <w:rsid w:val="00465C78"/>
    <w:rsid w:val="00467781"/>
    <w:rsid w:val="004703E2"/>
    <w:rsid w:val="00471BE8"/>
    <w:rsid w:val="004728E1"/>
    <w:rsid w:val="00472ADD"/>
    <w:rsid w:val="00474EFC"/>
    <w:rsid w:val="00475E9F"/>
    <w:rsid w:val="00481F69"/>
    <w:rsid w:val="00482EF8"/>
    <w:rsid w:val="004835A0"/>
    <w:rsid w:val="00484F80"/>
    <w:rsid w:val="00486334"/>
    <w:rsid w:val="00487B8A"/>
    <w:rsid w:val="004915BB"/>
    <w:rsid w:val="00492020"/>
    <w:rsid w:val="0049304E"/>
    <w:rsid w:val="00497C97"/>
    <w:rsid w:val="004A1DBF"/>
    <w:rsid w:val="004A1ED3"/>
    <w:rsid w:val="004A2AF8"/>
    <w:rsid w:val="004A4BAC"/>
    <w:rsid w:val="004A5D49"/>
    <w:rsid w:val="004A6C7D"/>
    <w:rsid w:val="004B12C1"/>
    <w:rsid w:val="004B226F"/>
    <w:rsid w:val="004B32A3"/>
    <w:rsid w:val="004B3427"/>
    <w:rsid w:val="004B3F08"/>
    <w:rsid w:val="004B3F65"/>
    <w:rsid w:val="004B4E2F"/>
    <w:rsid w:val="004B6C29"/>
    <w:rsid w:val="004B763B"/>
    <w:rsid w:val="004B7B6F"/>
    <w:rsid w:val="004C1489"/>
    <w:rsid w:val="004C18CF"/>
    <w:rsid w:val="004C3B79"/>
    <w:rsid w:val="004C3BED"/>
    <w:rsid w:val="004C3FE1"/>
    <w:rsid w:val="004C5330"/>
    <w:rsid w:val="004C63DF"/>
    <w:rsid w:val="004C6930"/>
    <w:rsid w:val="004C70EB"/>
    <w:rsid w:val="004C7176"/>
    <w:rsid w:val="004C76FC"/>
    <w:rsid w:val="004C7CB1"/>
    <w:rsid w:val="004D176B"/>
    <w:rsid w:val="004D1C37"/>
    <w:rsid w:val="004D2C9C"/>
    <w:rsid w:val="004D4B3C"/>
    <w:rsid w:val="004D524A"/>
    <w:rsid w:val="004D5BBF"/>
    <w:rsid w:val="004D6A6A"/>
    <w:rsid w:val="004E0377"/>
    <w:rsid w:val="004E2753"/>
    <w:rsid w:val="004E29E2"/>
    <w:rsid w:val="004E3456"/>
    <w:rsid w:val="004E4749"/>
    <w:rsid w:val="004F37D0"/>
    <w:rsid w:val="004F4669"/>
    <w:rsid w:val="004F4AC4"/>
    <w:rsid w:val="004F54B8"/>
    <w:rsid w:val="004F5CB5"/>
    <w:rsid w:val="004F691E"/>
    <w:rsid w:val="004F6B64"/>
    <w:rsid w:val="004F6DD4"/>
    <w:rsid w:val="004F785F"/>
    <w:rsid w:val="00501EE6"/>
    <w:rsid w:val="00501FF8"/>
    <w:rsid w:val="00505631"/>
    <w:rsid w:val="0050563D"/>
    <w:rsid w:val="00506742"/>
    <w:rsid w:val="00506F88"/>
    <w:rsid w:val="005116E5"/>
    <w:rsid w:val="00512219"/>
    <w:rsid w:val="00514BCD"/>
    <w:rsid w:val="00516C4F"/>
    <w:rsid w:val="00522FC8"/>
    <w:rsid w:val="00523121"/>
    <w:rsid w:val="005239F0"/>
    <w:rsid w:val="00524425"/>
    <w:rsid w:val="00525119"/>
    <w:rsid w:val="00531422"/>
    <w:rsid w:val="005317B7"/>
    <w:rsid w:val="005324C5"/>
    <w:rsid w:val="00532EBE"/>
    <w:rsid w:val="00534E3E"/>
    <w:rsid w:val="00534EA3"/>
    <w:rsid w:val="00536A1E"/>
    <w:rsid w:val="00540B53"/>
    <w:rsid w:val="00542B89"/>
    <w:rsid w:val="00542E71"/>
    <w:rsid w:val="00543CA6"/>
    <w:rsid w:val="00545394"/>
    <w:rsid w:val="00545C6C"/>
    <w:rsid w:val="005503CE"/>
    <w:rsid w:val="00550CA0"/>
    <w:rsid w:val="00551531"/>
    <w:rsid w:val="00551BED"/>
    <w:rsid w:val="005534F5"/>
    <w:rsid w:val="00555C23"/>
    <w:rsid w:val="00557558"/>
    <w:rsid w:val="00560AF0"/>
    <w:rsid w:val="00560C9C"/>
    <w:rsid w:val="005648D3"/>
    <w:rsid w:val="0056504B"/>
    <w:rsid w:val="00566B5E"/>
    <w:rsid w:val="00566C4F"/>
    <w:rsid w:val="00566E0A"/>
    <w:rsid w:val="00567989"/>
    <w:rsid w:val="005700CA"/>
    <w:rsid w:val="005703CA"/>
    <w:rsid w:val="005706CA"/>
    <w:rsid w:val="00572217"/>
    <w:rsid w:val="0057292A"/>
    <w:rsid w:val="005739CF"/>
    <w:rsid w:val="00574A5F"/>
    <w:rsid w:val="00575D1B"/>
    <w:rsid w:val="00581050"/>
    <w:rsid w:val="00585800"/>
    <w:rsid w:val="0058657D"/>
    <w:rsid w:val="00587770"/>
    <w:rsid w:val="00587DBD"/>
    <w:rsid w:val="00591557"/>
    <w:rsid w:val="00592C65"/>
    <w:rsid w:val="005935C2"/>
    <w:rsid w:val="005959D7"/>
    <w:rsid w:val="00595DA0"/>
    <w:rsid w:val="00595DD3"/>
    <w:rsid w:val="005965C1"/>
    <w:rsid w:val="005A1541"/>
    <w:rsid w:val="005A30FE"/>
    <w:rsid w:val="005A3C1E"/>
    <w:rsid w:val="005A54F5"/>
    <w:rsid w:val="005B1123"/>
    <w:rsid w:val="005B1FCB"/>
    <w:rsid w:val="005B2835"/>
    <w:rsid w:val="005B31D0"/>
    <w:rsid w:val="005B4F29"/>
    <w:rsid w:val="005B63B7"/>
    <w:rsid w:val="005B6B54"/>
    <w:rsid w:val="005B7585"/>
    <w:rsid w:val="005C18DC"/>
    <w:rsid w:val="005C444B"/>
    <w:rsid w:val="005C5127"/>
    <w:rsid w:val="005D310C"/>
    <w:rsid w:val="005D5687"/>
    <w:rsid w:val="005D62FF"/>
    <w:rsid w:val="005E1879"/>
    <w:rsid w:val="005E1A8D"/>
    <w:rsid w:val="005E2D20"/>
    <w:rsid w:val="005E3734"/>
    <w:rsid w:val="005E5410"/>
    <w:rsid w:val="005F125D"/>
    <w:rsid w:val="005F4A2B"/>
    <w:rsid w:val="00600D29"/>
    <w:rsid w:val="0060160D"/>
    <w:rsid w:val="00601D71"/>
    <w:rsid w:val="0060293D"/>
    <w:rsid w:val="00603276"/>
    <w:rsid w:val="00605976"/>
    <w:rsid w:val="0061151E"/>
    <w:rsid w:val="0061160F"/>
    <w:rsid w:val="00612BA9"/>
    <w:rsid w:val="00612D74"/>
    <w:rsid w:val="00614EF1"/>
    <w:rsid w:val="00616769"/>
    <w:rsid w:val="00616C59"/>
    <w:rsid w:val="006204A1"/>
    <w:rsid w:val="00620647"/>
    <w:rsid w:val="006211B0"/>
    <w:rsid w:val="006213EB"/>
    <w:rsid w:val="00624A88"/>
    <w:rsid w:val="006259DF"/>
    <w:rsid w:val="00626255"/>
    <w:rsid w:val="0062796F"/>
    <w:rsid w:val="006316CF"/>
    <w:rsid w:val="006343E7"/>
    <w:rsid w:val="006367E3"/>
    <w:rsid w:val="00636FEB"/>
    <w:rsid w:val="00637F8B"/>
    <w:rsid w:val="00643E8A"/>
    <w:rsid w:val="00646159"/>
    <w:rsid w:val="006477C6"/>
    <w:rsid w:val="00650386"/>
    <w:rsid w:val="00651F33"/>
    <w:rsid w:val="0065271A"/>
    <w:rsid w:val="00655606"/>
    <w:rsid w:val="00655803"/>
    <w:rsid w:val="00656FC8"/>
    <w:rsid w:val="0066064F"/>
    <w:rsid w:val="00660C27"/>
    <w:rsid w:val="00663296"/>
    <w:rsid w:val="00670F63"/>
    <w:rsid w:val="00671E0A"/>
    <w:rsid w:val="0067330B"/>
    <w:rsid w:val="006746E5"/>
    <w:rsid w:val="006807D2"/>
    <w:rsid w:val="00680CD0"/>
    <w:rsid w:val="006815A4"/>
    <w:rsid w:val="00681B31"/>
    <w:rsid w:val="00682346"/>
    <w:rsid w:val="0068757B"/>
    <w:rsid w:val="0068758D"/>
    <w:rsid w:val="00687A5F"/>
    <w:rsid w:val="00687AFB"/>
    <w:rsid w:val="00687CD3"/>
    <w:rsid w:val="006934BF"/>
    <w:rsid w:val="00695B19"/>
    <w:rsid w:val="00697BE4"/>
    <w:rsid w:val="006A1A6D"/>
    <w:rsid w:val="006A1D5E"/>
    <w:rsid w:val="006A1DFC"/>
    <w:rsid w:val="006A1EA6"/>
    <w:rsid w:val="006A6CC8"/>
    <w:rsid w:val="006A6FD9"/>
    <w:rsid w:val="006A7667"/>
    <w:rsid w:val="006A7FA9"/>
    <w:rsid w:val="006B2B64"/>
    <w:rsid w:val="006B5B3C"/>
    <w:rsid w:val="006B71F7"/>
    <w:rsid w:val="006C0E30"/>
    <w:rsid w:val="006C3BC3"/>
    <w:rsid w:val="006C66F7"/>
    <w:rsid w:val="006C72DC"/>
    <w:rsid w:val="006D0591"/>
    <w:rsid w:val="006D1217"/>
    <w:rsid w:val="006D1729"/>
    <w:rsid w:val="006D1987"/>
    <w:rsid w:val="006D31A7"/>
    <w:rsid w:val="006D5238"/>
    <w:rsid w:val="006E174E"/>
    <w:rsid w:val="006E22D3"/>
    <w:rsid w:val="006E34D0"/>
    <w:rsid w:val="006E4615"/>
    <w:rsid w:val="006E5073"/>
    <w:rsid w:val="006E7E5C"/>
    <w:rsid w:val="006F2671"/>
    <w:rsid w:val="006F5175"/>
    <w:rsid w:val="006F54A2"/>
    <w:rsid w:val="006F6471"/>
    <w:rsid w:val="006F6EAF"/>
    <w:rsid w:val="006F7ACF"/>
    <w:rsid w:val="006F7B7B"/>
    <w:rsid w:val="006F7D6B"/>
    <w:rsid w:val="006F7EDC"/>
    <w:rsid w:val="007006A9"/>
    <w:rsid w:val="00705B11"/>
    <w:rsid w:val="00705DCF"/>
    <w:rsid w:val="007104BB"/>
    <w:rsid w:val="007108E7"/>
    <w:rsid w:val="00712AC5"/>
    <w:rsid w:val="00712C2E"/>
    <w:rsid w:val="00714B05"/>
    <w:rsid w:val="00715580"/>
    <w:rsid w:val="00715BAF"/>
    <w:rsid w:val="0071755A"/>
    <w:rsid w:val="00720B83"/>
    <w:rsid w:val="007240A4"/>
    <w:rsid w:val="0072569C"/>
    <w:rsid w:val="00727CE1"/>
    <w:rsid w:val="00727DB7"/>
    <w:rsid w:val="00731A65"/>
    <w:rsid w:val="00731C7B"/>
    <w:rsid w:val="0073286B"/>
    <w:rsid w:val="00732921"/>
    <w:rsid w:val="00736F41"/>
    <w:rsid w:val="007376CC"/>
    <w:rsid w:val="00737EAF"/>
    <w:rsid w:val="00740AA0"/>
    <w:rsid w:val="00740D4D"/>
    <w:rsid w:val="00740F41"/>
    <w:rsid w:val="00741333"/>
    <w:rsid w:val="007431AF"/>
    <w:rsid w:val="007437DB"/>
    <w:rsid w:val="00745B6C"/>
    <w:rsid w:val="00751FA7"/>
    <w:rsid w:val="00753EA5"/>
    <w:rsid w:val="00753F81"/>
    <w:rsid w:val="00754C78"/>
    <w:rsid w:val="00755005"/>
    <w:rsid w:val="0075754F"/>
    <w:rsid w:val="00760F14"/>
    <w:rsid w:val="0076557D"/>
    <w:rsid w:val="00770F71"/>
    <w:rsid w:val="00771F8B"/>
    <w:rsid w:val="007722BB"/>
    <w:rsid w:val="00773722"/>
    <w:rsid w:val="00774025"/>
    <w:rsid w:val="00776B53"/>
    <w:rsid w:val="00777A24"/>
    <w:rsid w:val="00780841"/>
    <w:rsid w:val="00781150"/>
    <w:rsid w:val="007818D7"/>
    <w:rsid w:val="00781BE3"/>
    <w:rsid w:val="00785613"/>
    <w:rsid w:val="007863E8"/>
    <w:rsid w:val="00792C6C"/>
    <w:rsid w:val="00793AFC"/>
    <w:rsid w:val="00793B36"/>
    <w:rsid w:val="00793DEF"/>
    <w:rsid w:val="0079427F"/>
    <w:rsid w:val="00794390"/>
    <w:rsid w:val="00794CD7"/>
    <w:rsid w:val="00795E52"/>
    <w:rsid w:val="0079772A"/>
    <w:rsid w:val="007A09E2"/>
    <w:rsid w:val="007A2A70"/>
    <w:rsid w:val="007A7396"/>
    <w:rsid w:val="007B0C92"/>
    <w:rsid w:val="007B20F0"/>
    <w:rsid w:val="007B3779"/>
    <w:rsid w:val="007B3D6A"/>
    <w:rsid w:val="007B439E"/>
    <w:rsid w:val="007B5696"/>
    <w:rsid w:val="007B65F9"/>
    <w:rsid w:val="007B7A35"/>
    <w:rsid w:val="007C1E2D"/>
    <w:rsid w:val="007C2437"/>
    <w:rsid w:val="007C2BE4"/>
    <w:rsid w:val="007C3A16"/>
    <w:rsid w:val="007C477E"/>
    <w:rsid w:val="007C4890"/>
    <w:rsid w:val="007C7D77"/>
    <w:rsid w:val="007D0B18"/>
    <w:rsid w:val="007D247A"/>
    <w:rsid w:val="007D31F3"/>
    <w:rsid w:val="007D3466"/>
    <w:rsid w:val="007D4989"/>
    <w:rsid w:val="007D5738"/>
    <w:rsid w:val="007D7CAD"/>
    <w:rsid w:val="007E107C"/>
    <w:rsid w:val="007E2793"/>
    <w:rsid w:val="007E423F"/>
    <w:rsid w:val="007E451A"/>
    <w:rsid w:val="007E5CE8"/>
    <w:rsid w:val="007E6F01"/>
    <w:rsid w:val="007F0D4F"/>
    <w:rsid w:val="007F32A5"/>
    <w:rsid w:val="007F4AA4"/>
    <w:rsid w:val="007F56C2"/>
    <w:rsid w:val="007F7437"/>
    <w:rsid w:val="007F7D3E"/>
    <w:rsid w:val="00800AD6"/>
    <w:rsid w:val="00804307"/>
    <w:rsid w:val="00804308"/>
    <w:rsid w:val="00804A7E"/>
    <w:rsid w:val="008072E4"/>
    <w:rsid w:val="00807AEC"/>
    <w:rsid w:val="00811503"/>
    <w:rsid w:val="00813557"/>
    <w:rsid w:val="00816CC7"/>
    <w:rsid w:val="00820959"/>
    <w:rsid w:val="00823D55"/>
    <w:rsid w:val="00824125"/>
    <w:rsid w:val="0082584D"/>
    <w:rsid w:val="008260BD"/>
    <w:rsid w:val="00830831"/>
    <w:rsid w:val="00832F57"/>
    <w:rsid w:val="008330AC"/>
    <w:rsid w:val="00834967"/>
    <w:rsid w:val="008356D4"/>
    <w:rsid w:val="008403CF"/>
    <w:rsid w:val="00842137"/>
    <w:rsid w:val="00844582"/>
    <w:rsid w:val="008448D9"/>
    <w:rsid w:val="00844A39"/>
    <w:rsid w:val="00845969"/>
    <w:rsid w:val="0084747B"/>
    <w:rsid w:val="008478A2"/>
    <w:rsid w:val="00850380"/>
    <w:rsid w:val="00851350"/>
    <w:rsid w:val="00854C4C"/>
    <w:rsid w:val="00854ED6"/>
    <w:rsid w:val="00855B7A"/>
    <w:rsid w:val="00857AB5"/>
    <w:rsid w:val="00861149"/>
    <w:rsid w:val="00861909"/>
    <w:rsid w:val="00862901"/>
    <w:rsid w:val="00862B07"/>
    <w:rsid w:val="008639FF"/>
    <w:rsid w:val="00863CDF"/>
    <w:rsid w:val="00863D71"/>
    <w:rsid w:val="00866D14"/>
    <w:rsid w:val="00870945"/>
    <w:rsid w:val="00871466"/>
    <w:rsid w:val="0087160C"/>
    <w:rsid w:val="00873235"/>
    <w:rsid w:val="008732A8"/>
    <w:rsid w:val="00873B83"/>
    <w:rsid w:val="008755AA"/>
    <w:rsid w:val="008800C2"/>
    <w:rsid w:val="00884062"/>
    <w:rsid w:val="00887ADD"/>
    <w:rsid w:val="00890025"/>
    <w:rsid w:val="008911C7"/>
    <w:rsid w:val="008915A5"/>
    <w:rsid w:val="00895A34"/>
    <w:rsid w:val="00895E91"/>
    <w:rsid w:val="008977A2"/>
    <w:rsid w:val="008A2EFB"/>
    <w:rsid w:val="008A39C8"/>
    <w:rsid w:val="008A3B69"/>
    <w:rsid w:val="008A64DC"/>
    <w:rsid w:val="008A7F04"/>
    <w:rsid w:val="008B15B3"/>
    <w:rsid w:val="008B29B8"/>
    <w:rsid w:val="008B3CD4"/>
    <w:rsid w:val="008B4892"/>
    <w:rsid w:val="008B5A0B"/>
    <w:rsid w:val="008C11E1"/>
    <w:rsid w:val="008C14B2"/>
    <w:rsid w:val="008C1DD2"/>
    <w:rsid w:val="008C532D"/>
    <w:rsid w:val="008C673C"/>
    <w:rsid w:val="008C717C"/>
    <w:rsid w:val="008D159C"/>
    <w:rsid w:val="008D2536"/>
    <w:rsid w:val="008D3334"/>
    <w:rsid w:val="008D3A26"/>
    <w:rsid w:val="008D483A"/>
    <w:rsid w:val="008D4B15"/>
    <w:rsid w:val="008D59A9"/>
    <w:rsid w:val="008D765E"/>
    <w:rsid w:val="008E001E"/>
    <w:rsid w:val="008E071F"/>
    <w:rsid w:val="008E0D99"/>
    <w:rsid w:val="008E1242"/>
    <w:rsid w:val="008E1E4C"/>
    <w:rsid w:val="008E4DE4"/>
    <w:rsid w:val="008E5798"/>
    <w:rsid w:val="008E7636"/>
    <w:rsid w:val="008F096C"/>
    <w:rsid w:val="008F1540"/>
    <w:rsid w:val="008F1FEB"/>
    <w:rsid w:val="008F3B70"/>
    <w:rsid w:val="008F4AF2"/>
    <w:rsid w:val="008F7E81"/>
    <w:rsid w:val="00900D08"/>
    <w:rsid w:val="00900F70"/>
    <w:rsid w:val="00903A24"/>
    <w:rsid w:val="0090471C"/>
    <w:rsid w:val="0090482F"/>
    <w:rsid w:val="009050F6"/>
    <w:rsid w:val="00905E93"/>
    <w:rsid w:val="00907F4D"/>
    <w:rsid w:val="00910D7E"/>
    <w:rsid w:val="00910F57"/>
    <w:rsid w:val="00911B77"/>
    <w:rsid w:val="0091452B"/>
    <w:rsid w:val="00914A39"/>
    <w:rsid w:val="00916E4D"/>
    <w:rsid w:val="009173C3"/>
    <w:rsid w:val="00917E51"/>
    <w:rsid w:val="00921B9C"/>
    <w:rsid w:val="00924187"/>
    <w:rsid w:val="009246C5"/>
    <w:rsid w:val="00925A88"/>
    <w:rsid w:val="00926C70"/>
    <w:rsid w:val="00927412"/>
    <w:rsid w:val="009330AA"/>
    <w:rsid w:val="00933E82"/>
    <w:rsid w:val="00944664"/>
    <w:rsid w:val="00945119"/>
    <w:rsid w:val="00947EB1"/>
    <w:rsid w:val="00952E44"/>
    <w:rsid w:val="00953D1E"/>
    <w:rsid w:val="00953DBE"/>
    <w:rsid w:val="009540E6"/>
    <w:rsid w:val="009548AF"/>
    <w:rsid w:val="00955937"/>
    <w:rsid w:val="009559C3"/>
    <w:rsid w:val="00956BB7"/>
    <w:rsid w:val="00957F99"/>
    <w:rsid w:val="00960865"/>
    <w:rsid w:val="00961C31"/>
    <w:rsid w:val="00964249"/>
    <w:rsid w:val="00964334"/>
    <w:rsid w:val="0096483A"/>
    <w:rsid w:val="00966E20"/>
    <w:rsid w:val="00967025"/>
    <w:rsid w:val="00973120"/>
    <w:rsid w:val="00975132"/>
    <w:rsid w:val="00977562"/>
    <w:rsid w:val="009775DB"/>
    <w:rsid w:val="009819F0"/>
    <w:rsid w:val="00982701"/>
    <w:rsid w:val="00982AE2"/>
    <w:rsid w:val="00983A8A"/>
    <w:rsid w:val="00984788"/>
    <w:rsid w:val="009856F6"/>
    <w:rsid w:val="00985C0E"/>
    <w:rsid w:val="00986BA0"/>
    <w:rsid w:val="00990440"/>
    <w:rsid w:val="00990E38"/>
    <w:rsid w:val="00991131"/>
    <w:rsid w:val="0099243C"/>
    <w:rsid w:val="009934D4"/>
    <w:rsid w:val="009957C7"/>
    <w:rsid w:val="009A001D"/>
    <w:rsid w:val="009A062F"/>
    <w:rsid w:val="009A317F"/>
    <w:rsid w:val="009A7881"/>
    <w:rsid w:val="009A7A31"/>
    <w:rsid w:val="009A7D39"/>
    <w:rsid w:val="009B1D5A"/>
    <w:rsid w:val="009B6DA2"/>
    <w:rsid w:val="009B7D66"/>
    <w:rsid w:val="009C149C"/>
    <w:rsid w:val="009C1A3F"/>
    <w:rsid w:val="009C267E"/>
    <w:rsid w:val="009C2B92"/>
    <w:rsid w:val="009C2D1A"/>
    <w:rsid w:val="009C3275"/>
    <w:rsid w:val="009C5C52"/>
    <w:rsid w:val="009C5F77"/>
    <w:rsid w:val="009C7D0F"/>
    <w:rsid w:val="009D019B"/>
    <w:rsid w:val="009D1846"/>
    <w:rsid w:val="009D271F"/>
    <w:rsid w:val="009D6549"/>
    <w:rsid w:val="009E3846"/>
    <w:rsid w:val="009E467F"/>
    <w:rsid w:val="009E46E9"/>
    <w:rsid w:val="009E517B"/>
    <w:rsid w:val="009E5A0B"/>
    <w:rsid w:val="009E70A1"/>
    <w:rsid w:val="009E7330"/>
    <w:rsid w:val="009F10AF"/>
    <w:rsid w:val="009F1501"/>
    <w:rsid w:val="009F175A"/>
    <w:rsid w:val="009F1CEB"/>
    <w:rsid w:val="009F3C38"/>
    <w:rsid w:val="009F7396"/>
    <w:rsid w:val="009F7E7C"/>
    <w:rsid w:val="00A00F75"/>
    <w:rsid w:val="00A0131C"/>
    <w:rsid w:val="00A01875"/>
    <w:rsid w:val="00A045F7"/>
    <w:rsid w:val="00A04907"/>
    <w:rsid w:val="00A05142"/>
    <w:rsid w:val="00A0699B"/>
    <w:rsid w:val="00A114AA"/>
    <w:rsid w:val="00A13BA0"/>
    <w:rsid w:val="00A15093"/>
    <w:rsid w:val="00A159B5"/>
    <w:rsid w:val="00A15A4C"/>
    <w:rsid w:val="00A20437"/>
    <w:rsid w:val="00A2202B"/>
    <w:rsid w:val="00A251EF"/>
    <w:rsid w:val="00A278A5"/>
    <w:rsid w:val="00A27B50"/>
    <w:rsid w:val="00A30B62"/>
    <w:rsid w:val="00A30D86"/>
    <w:rsid w:val="00A327B1"/>
    <w:rsid w:val="00A36AAB"/>
    <w:rsid w:val="00A371EF"/>
    <w:rsid w:val="00A37A91"/>
    <w:rsid w:val="00A404D8"/>
    <w:rsid w:val="00A40728"/>
    <w:rsid w:val="00A40797"/>
    <w:rsid w:val="00A40C9F"/>
    <w:rsid w:val="00A41C9C"/>
    <w:rsid w:val="00A42289"/>
    <w:rsid w:val="00A45E9B"/>
    <w:rsid w:val="00A513BB"/>
    <w:rsid w:val="00A5366B"/>
    <w:rsid w:val="00A54DE3"/>
    <w:rsid w:val="00A60197"/>
    <w:rsid w:val="00A60FFE"/>
    <w:rsid w:val="00A6246F"/>
    <w:rsid w:val="00A63587"/>
    <w:rsid w:val="00A63C72"/>
    <w:rsid w:val="00A7111E"/>
    <w:rsid w:val="00A73938"/>
    <w:rsid w:val="00A73C53"/>
    <w:rsid w:val="00A7424F"/>
    <w:rsid w:val="00A74355"/>
    <w:rsid w:val="00A76729"/>
    <w:rsid w:val="00A7722E"/>
    <w:rsid w:val="00A80488"/>
    <w:rsid w:val="00A831EC"/>
    <w:rsid w:val="00A84063"/>
    <w:rsid w:val="00A86CAD"/>
    <w:rsid w:val="00A90071"/>
    <w:rsid w:val="00A92FE0"/>
    <w:rsid w:val="00A94FC0"/>
    <w:rsid w:val="00A972A0"/>
    <w:rsid w:val="00AA1DB9"/>
    <w:rsid w:val="00AA3306"/>
    <w:rsid w:val="00AA377D"/>
    <w:rsid w:val="00AA46A8"/>
    <w:rsid w:val="00AA5ABE"/>
    <w:rsid w:val="00AA79A0"/>
    <w:rsid w:val="00AA7FCC"/>
    <w:rsid w:val="00AB067E"/>
    <w:rsid w:val="00AB12AE"/>
    <w:rsid w:val="00AB1E86"/>
    <w:rsid w:val="00AB2244"/>
    <w:rsid w:val="00AB3A84"/>
    <w:rsid w:val="00AB6FE2"/>
    <w:rsid w:val="00AC0082"/>
    <w:rsid w:val="00AC29E0"/>
    <w:rsid w:val="00AC66A2"/>
    <w:rsid w:val="00AD0524"/>
    <w:rsid w:val="00AD22AE"/>
    <w:rsid w:val="00AD2897"/>
    <w:rsid w:val="00AD3703"/>
    <w:rsid w:val="00AD3AF1"/>
    <w:rsid w:val="00AD5398"/>
    <w:rsid w:val="00AD6432"/>
    <w:rsid w:val="00AD6441"/>
    <w:rsid w:val="00AD6791"/>
    <w:rsid w:val="00AD7116"/>
    <w:rsid w:val="00AD77F7"/>
    <w:rsid w:val="00AE0DE2"/>
    <w:rsid w:val="00AE619C"/>
    <w:rsid w:val="00AE6222"/>
    <w:rsid w:val="00AF051A"/>
    <w:rsid w:val="00AF22FE"/>
    <w:rsid w:val="00AF3045"/>
    <w:rsid w:val="00AF49CB"/>
    <w:rsid w:val="00AF796B"/>
    <w:rsid w:val="00B0064C"/>
    <w:rsid w:val="00B00908"/>
    <w:rsid w:val="00B00B3B"/>
    <w:rsid w:val="00B03FBF"/>
    <w:rsid w:val="00B04CC1"/>
    <w:rsid w:val="00B060B3"/>
    <w:rsid w:val="00B0774B"/>
    <w:rsid w:val="00B1044C"/>
    <w:rsid w:val="00B10726"/>
    <w:rsid w:val="00B11708"/>
    <w:rsid w:val="00B13388"/>
    <w:rsid w:val="00B14793"/>
    <w:rsid w:val="00B16B6B"/>
    <w:rsid w:val="00B17AD8"/>
    <w:rsid w:val="00B20280"/>
    <w:rsid w:val="00B2621E"/>
    <w:rsid w:val="00B273F6"/>
    <w:rsid w:val="00B27779"/>
    <w:rsid w:val="00B304FB"/>
    <w:rsid w:val="00B311B2"/>
    <w:rsid w:val="00B3196F"/>
    <w:rsid w:val="00B32D63"/>
    <w:rsid w:val="00B35C32"/>
    <w:rsid w:val="00B363B0"/>
    <w:rsid w:val="00B36719"/>
    <w:rsid w:val="00B37B90"/>
    <w:rsid w:val="00B404C4"/>
    <w:rsid w:val="00B41A85"/>
    <w:rsid w:val="00B43C72"/>
    <w:rsid w:val="00B44EEF"/>
    <w:rsid w:val="00B44F08"/>
    <w:rsid w:val="00B451CA"/>
    <w:rsid w:val="00B45900"/>
    <w:rsid w:val="00B52F38"/>
    <w:rsid w:val="00B534FC"/>
    <w:rsid w:val="00B61183"/>
    <w:rsid w:val="00B621B2"/>
    <w:rsid w:val="00B624E8"/>
    <w:rsid w:val="00B62C08"/>
    <w:rsid w:val="00B63EF4"/>
    <w:rsid w:val="00B65E7C"/>
    <w:rsid w:val="00B669B3"/>
    <w:rsid w:val="00B72AD9"/>
    <w:rsid w:val="00B7321F"/>
    <w:rsid w:val="00B73F25"/>
    <w:rsid w:val="00B74DEA"/>
    <w:rsid w:val="00B75803"/>
    <w:rsid w:val="00B769EA"/>
    <w:rsid w:val="00B76FD7"/>
    <w:rsid w:val="00B776D5"/>
    <w:rsid w:val="00B8005E"/>
    <w:rsid w:val="00B80ABC"/>
    <w:rsid w:val="00B80E8B"/>
    <w:rsid w:val="00B824C8"/>
    <w:rsid w:val="00B84181"/>
    <w:rsid w:val="00B84AE1"/>
    <w:rsid w:val="00B86952"/>
    <w:rsid w:val="00B870B9"/>
    <w:rsid w:val="00B90C92"/>
    <w:rsid w:val="00B912A0"/>
    <w:rsid w:val="00B916F7"/>
    <w:rsid w:val="00B91F0A"/>
    <w:rsid w:val="00B936C2"/>
    <w:rsid w:val="00B95D7C"/>
    <w:rsid w:val="00B96A6B"/>
    <w:rsid w:val="00BA18B2"/>
    <w:rsid w:val="00BA2090"/>
    <w:rsid w:val="00BA20E4"/>
    <w:rsid w:val="00BA4970"/>
    <w:rsid w:val="00BA5593"/>
    <w:rsid w:val="00BA5619"/>
    <w:rsid w:val="00BA700B"/>
    <w:rsid w:val="00BA74BA"/>
    <w:rsid w:val="00BB1896"/>
    <w:rsid w:val="00BB5038"/>
    <w:rsid w:val="00BB50F5"/>
    <w:rsid w:val="00BC367A"/>
    <w:rsid w:val="00BC392C"/>
    <w:rsid w:val="00BC3E41"/>
    <w:rsid w:val="00BC45F9"/>
    <w:rsid w:val="00BC4997"/>
    <w:rsid w:val="00BC4F05"/>
    <w:rsid w:val="00BC6ADD"/>
    <w:rsid w:val="00BC7B2F"/>
    <w:rsid w:val="00BD09CB"/>
    <w:rsid w:val="00BD1358"/>
    <w:rsid w:val="00BD2E87"/>
    <w:rsid w:val="00BD41A1"/>
    <w:rsid w:val="00BD4754"/>
    <w:rsid w:val="00BD5C22"/>
    <w:rsid w:val="00BD6476"/>
    <w:rsid w:val="00BD709A"/>
    <w:rsid w:val="00BD7684"/>
    <w:rsid w:val="00BE1F27"/>
    <w:rsid w:val="00BE22EE"/>
    <w:rsid w:val="00BE23CD"/>
    <w:rsid w:val="00BE31BD"/>
    <w:rsid w:val="00BE351A"/>
    <w:rsid w:val="00BE4461"/>
    <w:rsid w:val="00BE4CB9"/>
    <w:rsid w:val="00BE5D2C"/>
    <w:rsid w:val="00BE61E8"/>
    <w:rsid w:val="00BE71B9"/>
    <w:rsid w:val="00BF0EA4"/>
    <w:rsid w:val="00BF0F64"/>
    <w:rsid w:val="00BF12B4"/>
    <w:rsid w:val="00BF16B7"/>
    <w:rsid w:val="00BF1F53"/>
    <w:rsid w:val="00BF2C49"/>
    <w:rsid w:val="00BF35DB"/>
    <w:rsid w:val="00BF3978"/>
    <w:rsid w:val="00BF4743"/>
    <w:rsid w:val="00BF483E"/>
    <w:rsid w:val="00BF5B08"/>
    <w:rsid w:val="00BF6B52"/>
    <w:rsid w:val="00BF74EB"/>
    <w:rsid w:val="00BF7525"/>
    <w:rsid w:val="00C00267"/>
    <w:rsid w:val="00C0030E"/>
    <w:rsid w:val="00C0070C"/>
    <w:rsid w:val="00C00F9D"/>
    <w:rsid w:val="00C0240B"/>
    <w:rsid w:val="00C04360"/>
    <w:rsid w:val="00C06F23"/>
    <w:rsid w:val="00C11EB0"/>
    <w:rsid w:val="00C123AA"/>
    <w:rsid w:val="00C13919"/>
    <w:rsid w:val="00C14917"/>
    <w:rsid w:val="00C14E39"/>
    <w:rsid w:val="00C15067"/>
    <w:rsid w:val="00C152D5"/>
    <w:rsid w:val="00C176A9"/>
    <w:rsid w:val="00C20AAB"/>
    <w:rsid w:val="00C21F05"/>
    <w:rsid w:val="00C23693"/>
    <w:rsid w:val="00C27810"/>
    <w:rsid w:val="00C27E66"/>
    <w:rsid w:val="00C3125F"/>
    <w:rsid w:val="00C32262"/>
    <w:rsid w:val="00C33756"/>
    <w:rsid w:val="00C34710"/>
    <w:rsid w:val="00C347C7"/>
    <w:rsid w:val="00C36C4C"/>
    <w:rsid w:val="00C37DC7"/>
    <w:rsid w:val="00C429E8"/>
    <w:rsid w:val="00C42DE8"/>
    <w:rsid w:val="00C4749A"/>
    <w:rsid w:val="00C5279A"/>
    <w:rsid w:val="00C54B63"/>
    <w:rsid w:val="00C55814"/>
    <w:rsid w:val="00C567CF"/>
    <w:rsid w:val="00C6116C"/>
    <w:rsid w:val="00C61588"/>
    <w:rsid w:val="00C6184B"/>
    <w:rsid w:val="00C643AE"/>
    <w:rsid w:val="00C66591"/>
    <w:rsid w:val="00C7162D"/>
    <w:rsid w:val="00C72681"/>
    <w:rsid w:val="00C729FC"/>
    <w:rsid w:val="00C72D1C"/>
    <w:rsid w:val="00C76BE2"/>
    <w:rsid w:val="00C806F2"/>
    <w:rsid w:val="00C80A89"/>
    <w:rsid w:val="00C813B6"/>
    <w:rsid w:val="00C81846"/>
    <w:rsid w:val="00C82095"/>
    <w:rsid w:val="00C86AB6"/>
    <w:rsid w:val="00C90662"/>
    <w:rsid w:val="00C91F38"/>
    <w:rsid w:val="00C92634"/>
    <w:rsid w:val="00C92B4A"/>
    <w:rsid w:val="00C93466"/>
    <w:rsid w:val="00C93707"/>
    <w:rsid w:val="00C94D2C"/>
    <w:rsid w:val="00C96361"/>
    <w:rsid w:val="00C967F0"/>
    <w:rsid w:val="00C97B7B"/>
    <w:rsid w:val="00CA03D1"/>
    <w:rsid w:val="00CA0C1C"/>
    <w:rsid w:val="00CA192E"/>
    <w:rsid w:val="00CA3281"/>
    <w:rsid w:val="00CA32E8"/>
    <w:rsid w:val="00CA46D1"/>
    <w:rsid w:val="00CA4EBC"/>
    <w:rsid w:val="00CA50AF"/>
    <w:rsid w:val="00CA77A2"/>
    <w:rsid w:val="00CB2832"/>
    <w:rsid w:val="00CB2C62"/>
    <w:rsid w:val="00CB486E"/>
    <w:rsid w:val="00CB4A21"/>
    <w:rsid w:val="00CB4A78"/>
    <w:rsid w:val="00CB69E4"/>
    <w:rsid w:val="00CB6C3D"/>
    <w:rsid w:val="00CB7142"/>
    <w:rsid w:val="00CB7145"/>
    <w:rsid w:val="00CC102D"/>
    <w:rsid w:val="00CC2567"/>
    <w:rsid w:val="00CC28D3"/>
    <w:rsid w:val="00CC2E40"/>
    <w:rsid w:val="00CC3DB9"/>
    <w:rsid w:val="00CC4CA1"/>
    <w:rsid w:val="00CC5396"/>
    <w:rsid w:val="00CC78EB"/>
    <w:rsid w:val="00CD0816"/>
    <w:rsid w:val="00CD3C53"/>
    <w:rsid w:val="00CD52B3"/>
    <w:rsid w:val="00CD61F1"/>
    <w:rsid w:val="00CD70F6"/>
    <w:rsid w:val="00CD7363"/>
    <w:rsid w:val="00CE0333"/>
    <w:rsid w:val="00CE09A2"/>
    <w:rsid w:val="00CE24B7"/>
    <w:rsid w:val="00CE2A3B"/>
    <w:rsid w:val="00CE3B37"/>
    <w:rsid w:val="00CE3EED"/>
    <w:rsid w:val="00CE509C"/>
    <w:rsid w:val="00CE623A"/>
    <w:rsid w:val="00CE7AD3"/>
    <w:rsid w:val="00CF142E"/>
    <w:rsid w:val="00CF1844"/>
    <w:rsid w:val="00CF456D"/>
    <w:rsid w:val="00CF4B55"/>
    <w:rsid w:val="00CF5041"/>
    <w:rsid w:val="00CF5648"/>
    <w:rsid w:val="00CF6990"/>
    <w:rsid w:val="00CF73B3"/>
    <w:rsid w:val="00D0101C"/>
    <w:rsid w:val="00D01578"/>
    <w:rsid w:val="00D0178B"/>
    <w:rsid w:val="00D0280D"/>
    <w:rsid w:val="00D02FD6"/>
    <w:rsid w:val="00D0392A"/>
    <w:rsid w:val="00D04D9F"/>
    <w:rsid w:val="00D050F8"/>
    <w:rsid w:val="00D06004"/>
    <w:rsid w:val="00D06840"/>
    <w:rsid w:val="00D06AED"/>
    <w:rsid w:val="00D10453"/>
    <w:rsid w:val="00D11322"/>
    <w:rsid w:val="00D13217"/>
    <w:rsid w:val="00D1399E"/>
    <w:rsid w:val="00D14A66"/>
    <w:rsid w:val="00D14A82"/>
    <w:rsid w:val="00D15974"/>
    <w:rsid w:val="00D1638A"/>
    <w:rsid w:val="00D21AD5"/>
    <w:rsid w:val="00D22C00"/>
    <w:rsid w:val="00D238AF"/>
    <w:rsid w:val="00D23DEE"/>
    <w:rsid w:val="00D2476F"/>
    <w:rsid w:val="00D259C9"/>
    <w:rsid w:val="00D25A6B"/>
    <w:rsid w:val="00D274E7"/>
    <w:rsid w:val="00D30C09"/>
    <w:rsid w:val="00D31F6E"/>
    <w:rsid w:val="00D325D3"/>
    <w:rsid w:val="00D32BD2"/>
    <w:rsid w:val="00D34737"/>
    <w:rsid w:val="00D34ABC"/>
    <w:rsid w:val="00D352D4"/>
    <w:rsid w:val="00D37B57"/>
    <w:rsid w:val="00D37E73"/>
    <w:rsid w:val="00D40643"/>
    <w:rsid w:val="00D4171E"/>
    <w:rsid w:val="00D42713"/>
    <w:rsid w:val="00D47E9D"/>
    <w:rsid w:val="00D50CAB"/>
    <w:rsid w:val="00D512C3"/>
    <w:rsid w:val="00D53E12"/>
    <w:rsid w:val="00D54F12"/>
    <w:rsid w:val="00D56239"/>
    <w:rsid w:val="00D5670C"/>
    <w:rsid w:val="00D57CA9"/>
    <w:rsid w:val="00D60A5F"/>
    <w:rsid w:val="00D63875"/>
    <w:rsid w:val="00D64228"/>
    <w:rsid w:val="00D67AEF"/>
    <w:rsid w:val="00D67F51"/>
    <w:rsid w:val="00D7260A"/>
    <w:rsid w:val="00D72AB9"/>
    <w:rsid w:val="00D73144"/>
    <w:rsid w:val="00D74869"/>
    <w:rsid w:val="00D7491F"/>
    <w:rsid w:val="00D7573C"/>
    <w:rsid w:val="00D758BD"/>
    <w:rsid w:val="00D77999"/>
    <w:rsid w:val="00D77D55"/>
    <w:rsid w:val="00D77DDE"/>
    <w:rsid w:val="00D805E0"/>
    <w:rsid w:val="00D81675"/>
    <w:rsid w:val="00D825E4"/>
    <w:rsid w:val="00D82FDF"/>
    <w:rsid w:val="00D8474A"/>
    <w:rsid w:val="00D859FF"/>
    <w:rsid w:val="00D867E2"/>
    <w:rsid w:val="00D90AB0"/>
    <w:rsid w:val="00D90F1A"/>
    <w:rsid w:val="00D911ED"/>
    <w:rsid w:val="00D915FD"/>
    <w:rsid w:val="00D932B6"/>
    <w:rsid w:val="00D936FE"/>
    <w:rsid w:val="00D93CEA"/>
    <w:rsid w:val="00D942F4"/>
    <w:rsid w:val="00D94560"/>
    <w:rsid w:val="00D954E0"/>
    <w:rsid w:val="00D95535"/>
    <w:rsid w:val="00D9714C"/>
    <w:rsid w:val="00D977AA"/>
    <w:rsid w:val="00DA1FB8"/>
    <w:rsid w:val="00DA2651"/>
    <w:rsid w:val="00DA2FA2"/>
    <w:rsid w:val="00DA3B1F"/>
    <w:rsid w:val="00DA43CD"/>
    <w:rsid w:val="00DB2A13"/>
    <w:rsid w:val="00DB4673"/>
    <w:rsid w:val="00DB5869"/>
    <w:rsid w:val="00DB5A10"/>
    <w:rsid w:val="00DB5EBF"/>
    <w:rsid w:val="00DB6D51"/>
    <w:rsid w:val="00DB7B56"/>
    <w:rsid w:val="00DC16BB"/>
    <w:rsid w:val="00DC1819"/>
    <w:rsid w:val="00DC1C39"/>
    <w:rsid w:val="00DC3DA0"/>
    <w:rsid w:val="00DC509E"/>
    <w:rsid w:val="00DC51CB"/>
    <w:rsid w:val="00DC6AA4"/>
    <w:rsid w:val="00DD0883"/>
    <w:rsid w:val="00DD1DFF"/>
    <w:rsid w:val="00DD24ED"/>
    <w:rsid w:val="00DD46D3"/>
    <w:rsid w:val="00DD48E1"/>
    <w:rsid w:val="00DD79EB"/>
    <w:rsid w:val="00DE1A39"/>
    <w:rsid w:val="00DE4642"/>
    <w:rsid w:val="00DE68CA"/>
    <w:rsid w:val="00DF0E8F"/>
    <w:rsid w:val="00DF137C"/>
    <w:rsid w:val="00DF1402"/>
    <w:rsid w:val="00DF1A93"/>
    <w:rsid w:val="00DF1B8A"/>
    <w:rsid w:val="00DF2100"/>
    <w:rsid w:val="00DF2A71"/>
    <w:rsid w:val="00DF2E45"/>
    <w:rsid w:val="00DF33DF"/>
    <w:rsid w:val="00DF6666"/>
    <w:rsid w:val="00E01DA4"/>
    <w:rsid w:val="00E06408"/>
    <w:rsid w:val="00E069B8"/>
    <w:rsid w:val="00E13DD4"/>
    <w:rsid w:val="00E15823"/>
    <w:rsid w:val="00E17C07"/>
    <w:rsid w:val="00E2039D"/>
    <w:rsid w:val="00E2440F"/>
    <w:rsid w:val="00E24C0C"/>
    <w:rsid w:val="00E25275"/>
    <w:rsid w:val="00E26FE3"/>
    <w:rsid w:val="00E270B9"/>
    <w:rsid w:val="00E30850"/>
    <w:rsid w:val="00E316DB"/>
    <w:rsid w:val="00E339A0"/>
    <w:rsid w:val="00E34DCE"/>
    <w:rsid w:val="00E3652F"/>
    <w:rsid w:val="00E3727F"/>
    <w:rsid w:val="00E40D9A"/>
    <w:rsid w:val="00E416FB"/>
    <w:rsid w:val="00E4249E"/>
    <w:rsid w:val="00E46740"/>
    <w:rsid w:val="00E5382C"/>
    <w:rsid w:val="00E54051"/>
    <w:rsid w:val="00E572BA"/>
    <w:rsid w:val="00E5759C"/>
    <w:rsid w:val="00E57E26"/>
    <w:rsid w:val="00E606D3"/>
    <w:rsid w:val="00E61623"/>
    <w:rsid w:val="00E61A75"/>
    <w:rsid w:val="00E62CCE"/>
    <w:rsid w:val="00E64D1C"/>
    <w:rsid w:val="00E64ECB"/>
    <w:rsid w:val="00E65A64"/>
    <w:rsid w:val="00E65BB4"/>
    <w:rsid w:val="00E72109"/>
    <w:rsid w:val="00E7213E"/>
    <w:rsid w:val="00E72148"/>
    <w:rsid w:val="00E74808"/>
    <w:rsid w:val="00E767C5"/>
    <w:rsid w:val="00E77018"/>
    <w:rsid w:val="00E77089"/>
    <w:rsid w:val="00E800A1"/>
    <w:rsid w:val="00E86E57"/>
    <w:rsid w:val="00E8797E"/>
    <w:rsid w:val="00E90BB9"/>
    <w:rsid w:val="00E955B4"/>
    <w:rsid w:val="00EA062A"/>
    <w:rsid w:val="00EA06B7"/>
    <w:rsid w:val="00EA5960"/>
    <w:rsid w:val="00EA65E4"/>
    <w:rsid w:val="00EB0657"/>
    <w:rsid w:val="00EB26C8"/>
    <w:rsid w:val="00EB32E6"/>
    <w:rsid w:val="00EB3731"/>
    <w:rsid w:val="00EB3F2A"/>
    <w:rsid w:val="00EB54C5"/>
    <w:rsid w:val="00EB68CD"/>
    <w:rsid w:val="00EB7377"/>
    <w:rsid w:val="00EC221C"/>
    <w:rsid w:val="00EC2A46"/>
    <w:rsid w:val="00EC3AE0"/>
    <w:rsid w:val="00EC6B99"/>
    <w:rsid w:val="00ED0F0F"/>
    <w:rsid w:val="00ED16A1"/>
    <w:rsid w:val="00ED2F1E"/>
    <w:rsid w:val="00ED3831"/>
    <w:rsid w:val="00ED3A12"/>
    <w:rsid w:val="00ED48D4"/>
    <w:rsid w:val="00ED6B3B"/>
    <w:rsid w:val="00EE1AD8"/>
    <w:rsid w:val="00EE2827"/>
    <w:rsid w:val="00EE3389"/>
    <w:rsid w:val="00EE3CF8"/>
    <w:rsid w:val="00EE5D73"/>
    <w:rsid w:val="00EE6E47"/>
    <w:rsid w:val="00EF2F35"/>
    <w:rsid w:val="00EF3C2F"/>
    <w:rsid w:val="00EF66D4"/>
    <w:rsid w:val="00F0090B"/>
    <w:rsid w:val="00F02EB3"/>
    <w:rsid w:val="00F0384B"/>
    <w:rsid w:val="00F04030"/>
    <w:rsid w:val="00F042EF"/>
    <w:rsid w:val="00F052FA"/>
    <w:rsid w:val="00F05601"/>
    <w:rsid w:val="00F061B9"/>
    <w:rsid w:val="00F06A5C"/>
    <w:rsid w:val="00F112B8"/>
    <w:rsid w:val="00F1156C"/>
    <w:rsid w:val="00F13745"/>
    <w:rsid w:val="00F1657A"/>
    <w:rsid w:val="00F16D17"/>
    <w:rsid w:val="00F17F7D"/>
    <w:rsid w:val="00F2266A"/>
    <w:rsid w:val="00F229CB"/>
    <w:rsid w:val="00F23DFD"/>
    <w:rsid w:val="00F25B15"/>
    <w:rsid w:val="00F270AF"/>
    <w:rsid w:val="00F31395"/>
    <w:rsid w:val="00F33F51"/>
    <w:rsid w:val="00F364E6"/>
    <w:rsid w:val="00F366ED"/>
    <w:rsid w:val="00F41886"/>
    <w:rsid w:val="00F43273"/>
    <w:rsid w:val="00F4474F"/>
    <w:rsid w:val="00F4477E"/>
    <w:rsid w:val="00F46327"/>
    <w:rsid w:val="00F50052"/>
    <w:rsid w:val="00F50407"/>
    <w:rsid w:val="00F5053A"/>
    <w:rsid w:val="00F508BB"/>
    <w:rsid w:val="00F5168A"/>
    <w:rsid w:val="00F526B8"/>
    <w:rsid w:val="00F52E48"/>
    <w:rsid w:val="00F53DB0"/>
    <w:rsid w:val="00F5454E"/>
    <w:rsid w:val="00F5702D"/>
    <w:rsid w:val="00F612F9"/>
    <w:rsid w:val="00F63492"/>
    <w:rsid w:val="00F678C2"/>
    <w:rsid w:val="00F7268C"/>
    <w:rsid w:val="00F72F32"/>
    <w:rsid w:val="00F7464A"/>
    <w:rsid w:val="00F8023D"/>
    <w:rsid w:val="00F84AA4"/>
    <w:rsid w:val="00F8585F"/>
    <w:rsid w:val="00F901A2"/>
    <w:rsid w:val="00F90EAE"/>
    <w:rsid w:val="00F9480F"/>
    <w:rsid w:val="00F957F8"/>
    <w:rsid w:val="00F966D3"/>
    <w:rsid w:val="00F96FDE"/>
    <w:rsid w:val="00FA0920"/>
    <w:rsid w:val="00FA1C17"/>
    <w:rsid w:val="00FA1C6E"/>
    <w:rsid w:val="00FA1F0B"/>
    <w:rsid w:val="00FA2220"/>
    <w:rsid w:val="00FA2795"/>
    <w:rsid w:val="00FA2F97"/>
    <w:rsid w:val="00FA43E6"/>
    <w:rsid w:val="00FA57C3"/>
    <w:rsid w:val="00FA5A1A"/>
    <w:rsid w:val="00FA60E0"/>
    <w:rsid w:val="00FB0987"/>
    <w:rsid w:val="00FB1598"/>
    <w:rsid w:val="00FB1ECF"/>
    <w:rsid w:val="00FB3478"/>
    <w:rsid w:val="00FB5CBF"/>
    <w:rsid w:val="00FB7B4C"/>
    <w:rsid w:val="00FC169D"/>
    <w:rsid w:val="00FC2666"/>
    <w:rsid w:val="00FC3CE6"/>
    <w:rsid w:val="00FC78B6"/>
    <w:rsid w:val="00FD0E71"/>
    <w:rsid w:val="00FD158C"/>
    <w:rsid w:val="00FD4595"/>
    <w:rsid w:val="00FD4F9E"/>
    <w:rsid w:val="00FD548B"/>
    <w:rsid w:val="00FD6F85"/>
    <w:rsid w:val="00FD7427"/>
    <w:rsid w:val="00FE5BF7"/>
    <w:rsid w:val="00FE780F"/>
    <w:rsid w:val="00FF0177"/>
    <w:rsid w:val="00FF104C"/>
    <w:rsid w:val="00FF120A"/>
    <w:rsid w:val="00FF15D1"/>
    <w:rsid w:val="00FF1EDE"/>
    <w:rsid w:val="00FF5069"/>
    <w:rsid w:val="00FF76C3"/>
    <w:rsid w:val="01C59B13"/>
    <w:rsid w:val="01F3D8D7"/>
    <w:rsid w:val="020D21CC"/>
    <w:rsid w:val="02B9A9B8"/>
    <w:rsid w:val="03277CCE"/>
    <w:rsid w:val="03615C31"/>
    <w:rsid w:val="0397DF0C"/>
    <w:rsid w:val="04B3548F"/>
    <w:rsid w:val="05239D7F"/>
    <w:rsid w:val="05C1348F"/>
    <w:rsid w:val="06CCFAB2"/>
    <w:rsid w:val="0727E6B6"/>
    <w:rsid w:val="0A85B894"/>
    <w:rsid w:val="0DBEE4BE"/>
    <w:rsid w:val="0E40BE8C"/>
    <w:rsid w:val="0F2964A8"/>
    <w:rsid w:val="0F535241"/>
    <w:rsid w:val="0FD37CC2"/>
    <w:rsid w:val="101698B9"/>
    <w:rsid w:val="107F8901"/>
    <w:rsid w:val="1113BCB3"/>
    <w:rsid w:val="13782E70"/>
    <w:rsid w:val="1A130F09"/>
    <w:rsid w:val="1AD24CE1"/>
    <w:rsid w:val="1BBF479B"/>
    <w:rsid w:val="1BE0DD24"/>
    <w:rsid w:val="1D4C8B8C"/>
    <w:rsid w:val="1E2EFEF5"/>
    <w:rsid w:val="20BAAA2D"/>
    <w:rsid w:val="20DE97FC"/>
    <w:rsid w:val="227B3B57"/>
    <w:rsid w:val="230B993C"/>
    <w:rsid w:val="2621DD24"/>
    <w:rsid w:val="26B7B9D1"/>
    <w:rsid w:val="26C33E15"/>
    <w:rsid w:val="29F63E36"/>
    <w:rsid w:val="2BC23286"/>
    <w:rsid w:val="2BE0E6E2"/>
    <w:rsid w:val="2C1B9EEA"/>
    <w:rsid w:val="2D2E47F8"/>
    <w:rsid w:val="2D7BCF05"/>
    <w:rsid w:val="2FB9ADFF"/>
    <w:rsid w:val="33BFC004"/>
    <w:rsid w:val="33EFE693"/>
    <w:rsid w:val="34B1650B"/>
    <w:rsid w:val="3528BFC7"/>
    <w:rsid w:val="35C48E1F"/>
    <w:rsid w:val="360B6522"/>
    <w:rsid w:val="36D73AEB"/>
    <w:rsid w:val="3782B213"/>
    <w:rsid w:val="37A76E22"/>
    <w:rsid w:val="3821E4BC"/>
    <w:rsid w:val="3A0EDBAD"/>
    <w:rsid w:val="3ACAC1F3"/>
    <w:rsid w:val="3B65C041"/>
    <w:rsid w:val="3CA0D0AE"/>
    <w:rsid w:val="3CCE5ED9"/>
    <w:rsid w:val="3CFBF248"/>
    <w:rsid w:val="3EA0FDE5"/>
    <w:rsid w:val="40000F07"/>
    <w:rsid w:val="40A9544B"/>
    <w:rsid w:val="42E9E454"/>
    <w:rsid w:val="443D6EB4"/>
    <w:rsid w:val="44D947B9"/>
    <w:rsid w:val="465D15DD"/>
    <w:rsid w:val="483C2076"/>
    <w:rsid w:val="485A3133"/>
    <w:rsid w:val="4A617A36"/>
    <w:rsid w:val="4C406EFE"/>
    <w:rsid w:val="4EB3E54B"/>
    <w:rsid w:val="4F3EB7EF"/>
    <w:rsid w:val="4FA38726"/>
    <w:rsid w:val="4FBB7171"/>
    <w:rsid w:val="50F4412E"/>
    <w:rsid w:val="51E75D9C"/>
    <w:rsid w:val="5226E3D3"/>
    <w:rsid w:val="537760B4"/>
    <w:rsid w:val="552A6D45"/>
    <w:rsid w:val="56D2D5D2"/>
    <w:rsid w:val="570B7B7D"/>
    <w:rsid w:val="57316B0D"/>
    <w:rsid w:val="57D2360A"/>
    <w:rsid w:val="5865F804"/>
    <w:rsid w:val="58C692DD"/>
    <w:rsid w:val="58CD3B6E"/>
    <w:rsid w:val="5A096520"/>
    <w:rsid w:val="5A12DFCA"/>
    <w:rsid w:val="5AC75FFA"/>
    <w:rsid w:val="5B9473EE"/>
    <w:rsid w:val="5D270C50"/>
    <w:rsid w:val="5E0B07BB"/>
    <w:rsid w:val="5E91322B"/>
    <w:rsid w:val="5ED2D5A2"/>
    <w:rsid w:val="640AEA91"/>
    <w:rsid w:val="64C259D8"/>
    <w:rsid w:val="661369B1"/>
    <w:rsid w:val="664E8A74"/>
    <w:rsid w:val="6752D9EB"/>
    <w:rsid w:val="6788390D"/>
    <w:rsid w:val="68D68503"/>
    <w:rsid w:val="697DDFFC"/>
    <w:rsid w:val="69A1370E"/>
    <w:rsid w:val="6A48A371"/>
    <w:rsid w:val="6D291EFB"/>
    <w:rsid w:val="6D9CABDF"/>
    <w:rsid w:val="6E94D90C"/>
    <w:rsid w:val="6FD9713A"/>
    <w:rsid w:val="700A42A8"/>
    <w:rsid w:val="70F46673"/>
    <w:rsid w:val="71521CEF"/>
    <w:rsid w:val="72CB12CB"/>
    <w:rsid w:val="74E3D328"/>
    <w:rsid w:val="7561781E"/>
    <w:rsid w:val="768344E5"/>
    <w:rsid w:val="7997F62D"/>
    <w:rsid w:val="79BB2F92"/>
    <w:rsid w:val="7A5BFE7B"/>
    <w:rsid w:val="7AAC35BE"/>
    <w:rsid w:val="7CC7D0F2"/>
    <w:rsid w:val="7D5C637C"/>
    <w:rsid w:val="7EE698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82062"/>
  <w15:docId w15:val="{9C36E7AB-5943-4F3A-89CB-1536F5B1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67"/>
    <w:pPr>
      <w:spacing w:after="0" w:line="240" w:lineRule="auto"/>
    </w:pPr>
    <w:rPr>
      <w:rFonts w:ascii="Times New Roman" w:eastAsia="Times New Roman" w:hAnsi="Times New Roman" w:cs="Times New Roman"/>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F85"/>
    <w:pPr>
      <w:tabs>
        <w:tab w:val="center" w:pos="4680"/>
        <w:tab w:val="right" w:pos="9360"/>
      </w:tabs>
    </w:pPr>
  </w:style>
  <w:style w:type="character" w:customStyle="1" w:styleId="HeaderChar">
    <w:name w:val="Header Char"/>
    <w:basedOn w:val="DefaultParagraphFont"/>
    <w:link w:val="Header"/>
    <w:uiPriority w:val="99"/>
    <w:rsid w:val="00FD6F85"/>
    <w:rPr>
      <w:rFonts w:ascii="Times New Roman" w:eastAsia="Times New Roman" w:hAnsi="Times New Roman" w:cs="Times New Roman"/>
      <w:spacing w:val="-2"/>
      <w:sz w:val="24"/>
      <w:szCs w:val="24"/>
    </w:rPr>
  </w:style>
  <w:style w:type="paragraph" w:styleId="Footer">
    <w:name w:val="footer"/>
    <w:basedOn w:val="Normal"/>
    <w:link w:val="FooterChar"/>
    <w:unhideWhenUsed/>
    <w:rsid w:val="00FD6F85"/>
    <w:pPr>
      <w:tabs>
        <w:tab w:val="center" w:pos="4680"/>
        <w:tab w:val="right" w:pos="9360"/>
      </w:tabs>
    </w:pPr>
  </w:style>
  <w:style w:type="character" w:customStyle="1" w:styleId="FooterChar">
    <w:name w:val="Footer Char"/>
    <w:basedOn w:val="DefaultParagraphFont"/>
    <w:link w:val="Footer"/>
    <w:rsid w:val="00FD6F85"/>
    <w:rPr>
      <w:rFonts w:ascii="Times New Roman" w:eastAsia="Times New Roman" w:hAnsi="Times New Roman" w:cs="Times New Roman"/>
      <w:spacing w:val="-2"/>
      <w:sz w:val="24"/>
      <w:szCs w:val="24"/>
    </w:rPr>
  </w:style>
  <w:style w:type="paragraph" w:styleId="BalloonText">
    <w:name w:val="Balloon Text"/>
    <w:basedOn w:val="Normal"/>
    <w:link w:val="BalloonTextChar"/>
    <w:uiPriority w:val="99"/>
    <w:semiHidden/>
    <w:unhideWhenUsed/>
    <w:rsid w:val="00D911ED"/>
    <w:rPr>
      <w:rFonts w:ascii="Tahoma" w:hAnsi="Tahoma" w:cs="Tahoma"/>
      <w:sz w:val="16"/>
      <w:szCs w:val="16"/>
    </w:rPr>
  </w:style>
  <w:style w:type="character" w:customStyle="1" w:styleId="BalloonTextChar">
    <w:name w:val="Balloon Text Char"/>
    <w:basedOn w:val="DefaultParagraphFont"/>
    <w:link w:val="BalloonText"/>
    <w:uiPriority w:val="99"/>
    <w:semiHidden/>
    <w:rsid w:val="00D911ED"/>
    <w:rPr>
      <w:rFonts w:ascii="Tahoma" w:eastAsia="Times New Roman" w:hAnsi="Tahoma" w:cs="Tahoma"/>
      <w:spacing w:val="-2"/>
      <w:sz w:val="16"/>
      <w:szCs w:val="16"/>
    </w:rPr>
  </w:style>
  <w:style w:type="table" w:styleId="TableGrid">
    <w:name w:val="Table Grid"/>
    <w:basedOn w:val="TableNormal"/>
    <w:uiPriority w:val="59"/>
    <w:rsid w:val="00514BC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09E"/>
    <w:rPr>
      <w:sz w:val="16"/>
      <w:szCs w:val="16"/>
    </w:rPr>
  </w:style>
  <w:style w:type="paragraph" w:styleId="CommentText">
    <w:name w:val="annotation text"/>
    <w:basedOn w:val="Normal"/>
    <w:link w:val="CommentTextChar"/>
    <w:uiPriority w:val="99"/>
    <w:unhideWhenUsed/>
    <w:rsid w:val="00DC509E"/>
    <w:rPr>
      <w:sz w:val="20"/>
      <w:szCs w:val="20"/>
    </w:rPr>
  </w:style>
  <w:style w:type="character" w:customStyle="1" w:styleId="CommentTextChar">
    <w:name w:val="Comment Text Char"/>
    <w:basedOn w:val="DefaultParagraphFont"/>
    <w:link w:val="CommentText"/>
    <w:uiPriority w:val="99"/>
    <w:rsid w:val="00DC509E"/>
    <w:rPr>
      <w:rFonts w:ascii="Times New Roman" w:eastAsia="Times New Roman" w:hAnsi="Times New Roman" w:cs="Times New Roman"/>
      <w:spacing w:val="-2"/>
      <w:sz w:val="20"/>
      <w:szCs w:val="20"/>
    </w:rPr>
  </w:style>
  <w:style w:type="paragraph" w:styleId="CommentSubject">
    <w:name w:val="annotation subject"/>
    <w:basedOn w:val="CommentText"/>
    <w:next w:val="CommentText"/>
    <w:link w:val="CommentSubjectChar"/>
    <w:uiPriority w:val="99"/>
    <w:semiHidden/>
    <w:unhideWhenUsed/>
    <w:rsid w:val="00DC509E"/>
    <w:rPr>
      <w:b/>
      <w:bCs/>
    </w:rPr>
  </w:style>
  <w:style w:type="character" w:customStyle="1" w:styleId="CommentSubjectChar">
    <w:name w:val="Comment Subject Char"/>
    <w:basedOn w:val="CommentTextChar"/>
    <w:link w:val="CommentSubject"/>
    <w:uiPriority w:val="99"/>
    <w:semiHidden/>
    <w:rsid w:val="00DC509E"/>
    <w:rPr>
      <w:rFonts w:ascii="Times New Roman" w:eastAsia="Times New Roman" w:hAnsi="Times New Roman" w:cs="Times New Roman"/>
      <w:b/>
      <w:bCs/>
      <w:spacing w:val="-2"/>
      <w:sz w:val="20"/>
      <w:szCs w:val="20"/>
    </w:rPr>
  </w:style>
  <w:style w:type="character" w:styleId="Hyperlink">
    <w:name w:val="Hyperlink"/>
    <w:basedOn w:val="DefaultParagraphFont"/>
    <w:uiPriority w:val="99"/>
    <w:unhideWhenUsed/>
    <w:rsid w:val="00DC509E"/>
    <w:rPr>
      <w:color w:val="0000FF" w:themeColor="hyperlink"/>
      <w:u w:val="single"/>
    </w:rPr>
  </w:style>
  <w:style w:type="character" w:styleId="FollowedHyperlink">
    <w:name w:val="FollowedHyperlink"/>
    <w:basedOn w:val="DefaultParagraphFont"/>
    <w:uiPriority w:val="99"/>
    <w:semiHidden/>
    <w:unhideWhenUsed/>
    <w:rsid w:val="00DC509E"/>
    <w:rPr>
      <w:color w:val="800080" w:themeColor="followedHyperlink"/>
      <w:u w:val="single"/>
    </w:rPr>
  </w:style>
  <w:style w:type="paragraph" w:styleId="FootnoteText">
    <w:name w:val="footnote text"/>
    <w:basedOn w:val="Normal"/>
    <w:link w:val="FootnoteTextChar"/>
    <w:uiPriority w:val="99"/>
    <w:unhideWhenUsed/>
    <w:rsid w:val="003D7BB1"/>
    <w:rPr>
      <w:sz w:val="20"/>
      <w:szCs w:val="20"/>
    </w:rPr>
  </w:style>
  <w:style w:type="character" w:customStyle="1" w:styleId="FootnoteTextChar">
    <w:name w:val="Footnote Text Char"/>
    <w:basedOn w:val="DefaultParagraphFont"/>
    <w:link w:val="FootnoteText"/>
    <w:uiPriority w:val="99"/>
    <w:rsid w:val="003D7BB1"/>
    <w:rPr>
      <w:rFonts w:ascii="Times New Roman" w:eastAsia="Times New Roman" w:hAnsi="Times New Roman" w:cs="Times New Roman"/>
      <w:spacing w:val="-2"/>
      <w:sz w:val="20"/>
      <w:szCs w:val="20"/>
    </w:rPr>
  </w:style>
  <w:style w:type="character" w:styleId="FootnoteReference">
    <w:name w:val="footnote reference"/>
    <w:basedOn w:val="DefaultParagraphFont"/>
    <w:uiPriority w:val="99"/>
    <w:unhideWhenUsed/>
    <w:rsid w:val="003D7BB1"/>
    <w:rPr>
      <w:vertAlign w:val="superscript"/>
    </w:rPr>
  </w:style>
  <w:style w:type="paragraph" w:styleId="ListParagraph">
    <w:name w:val="List Paragraph"/>
    <w:basedOn w:val="Normal"/>
    <w:uiPriority w:val="34"/>
    <w:qFormat/>
    <w:rsid w:val="00575D1B"/>
    <w:pPr>
      <w:ind w:left="720"/>
      <w:contextualSpacing/>
    </w:pPr>
  </w:style>
  <w:style w:type="paragraph" w:styleId="EndnoteText">
    <w:name w:val="endnote text"/>
    <w:basedOn w:val="Normal"/>
    <w:link w:val="EndnoteTextChar"/>
    <w:uiPriority w:val="99"/>
    <w:semiHidden/>
    <w:unhideWhenUsed/>
    <w:rsid w:val="00522FC8"/>
    <w:rPr>
      <w:sz w:val="20"/>
      <w:szCs w:val="20"/>
    </w:rPr>
  </w:style>
  <w:style w:type="character" w:customStyle="1" w:styleId="EndnoteTextChar">
    <w:name w:val="Endnote Text Char"/>
    <w:basedOn w:val="DefaultParagraphFont"/>
    <w:link w:val="EndnoteText"/>
    <w:uiPriority w:val="99"/>
    <w:semiHidden/>
    <w:rsid w:val="00522FC8"/>
    <w:rPr>
      <w:rFonts w:ascii="Times New Roman" w:eastAsia="Times New Roman" w:hAnsi="Times New Roman" w:cs="Times New Roman"/>
      <w:spacing w:val="-2"/>
      <w:sz w:val="20"/>
      <w:szCs w:val="20"/>
    </w:rPr>
  </w:style>
  <w:style w:type="character" w:styleId="EndnoteReference">
    <w:name w:val="endnote reference"/>
    <w:basedOn w:val="DefaultParagraphFont"/>
    <w:uiPriority w:val="99"/>
    <w:semiHidden/>
    <w:unhideWhenUsed/>
    <w:rsid w:val="00522FC8"/>
    <w:rPr>
      <w:vertAlign w:val="superscript"/>
    </w:rPr>
  </w:style>
  <w:style w:type="character" w:styleId="PageNumber">
    <w:name w:val="page number"/>
    <w:basedOn w:val="DefaultParagraphFont"/>
    <w:rsid w:val="00BF0EA4"/>
  </w:style>
  <w:style w:type="paragraph" w:styleId="Revision">
    <w:name w:val="Revision"/>
    <w:hidden/>
    <w:uiPriority w:val="99"/>
    <w:semiHidden/>
    <w:rsid w:val="00566C4F"/>
    <w:pPr>
      <w:spacing w:after="0" w:line="240" w:lineRule="auto"/>
    </w:pPr>
    <w:rPr>
      <w:rFonts w:ascii="Times New Roman" w:eastAsia="Times New Roman" w:hAnsi="Times New Roman" w:cs="Times New Roman"/>
      <w:spacing w:val="-2"/>
      <w:sz w:val="24"/>
      <w:szCs w:val="24"/>
    </w:rPr>
  </w:style>
  <w:style w:type="paragraph" w:customStyle="1" w:styleId="Default">
    <w:name w:val="Default"/>
    <w:rsid w:val="0004526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D72AB9"/>
  </w:style>
  <w:style w:type="character" w:styleId="UnresolvedMention">
    <w:name w:val="Unresolved Mention"/>
    <w:basedOn w:val="DefaultParagraphFont"/>
    <w:uiPriority w:val="99"/>
    <w:semiHidden/>
    <w:unhideWhenUsed/>
    <w:rsid w:val="00BD5C22"/>
    <w:rPr>
      <w:color w:val="605E5C"/>
      <w:shd w:val="clear" w:color="auto" w:fill="E1DFDD"/>
    </w:rPr>
  </w:style>
  <w:style w:type="character" w:customStyle="1" w:styleId="cf01">
    <w:name w:val="cf01"/>
    <w:basedOn w:val="DefaultParagraphFont"/>
    <w:rsid w:val="006807D2"/>
    <w:rPr>
      <w:rFonts w:ascii="Segoe UI" w:hAnsi="Segoe UI" w:cs="Segoe UI" w:hint="default"/>
      <w:sz w:val="18"/>
      <w:szCs w:val="18"/>
    </w:rPr>
  </w:style>
  <w:style w:type="character" w:customStyle="1" w:styleId="cf11">
    <w:name w:val="cf11"/>
    <w:basedOn w:val="DefaultParagraphFont"/>
    <w:rsid w:val="006807D2"/>
    <w:rPr>
      <w:rFonts w:ascii="Segoe UI" w:hAnsi="Segoe UI" w:cs="Segoe UI" w:hint="default"/>
      <w:color w:val="202124"/>
      <w:sz w:val="18"/>
      <w:szCs w:val="18"/>
      <w:shd w:val="clear" w:color="auto" w:fill="FFFFFF"/>
    </w:rPr>
  </w:style>
  <w:style w:type="paragraph" w:customStyle="1" w:styleId="pf0">
    <w:name w:val="pf0"/>
    <w:basedOn w:val="Normal"/>
    <w:rsid w:val="00DF1B8A"/>
    <w:pPr>
      <w:spacing w:before="100" w:beforeAutospacing="1" w:after="100" w:afterAutospacing="1"/>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990481">
      <w:bodyDiv w:val="1"/>
      <w:marLeft w:val="0"/>
      <w:marRight w:val="0"/>
      <w:marTop w:val="0"/>
      <w:marBottom w:val="0"/>
      <w:divBdr>
        <w:top w:val="none" w:sz="0" w:space="0" w:color="auto"/>
        <w:left w:val="none" w:sz="0" w:space="0" w:color="auto"/>
        <w:bottom w:val="none" w:sz="0" w:space="0" w:color="auto"/>
        <w:right w:val="none" w:sz="0" w:space="0" w:color="auto"/>
      </w:divBdr>
    </w:div>
    <w:div w:id="18331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F85714A2EB54FA248AA5F6EB7DCC9" ma:contentTypeVersion="31" ma:contentTypeDescription="Create a new document." ma:contentTypeScope="" ma:versionID="78f7a2d9b675825756f3db510960b6cd">
  <xsd:schema xmlns:xsd="http://www.w3.org/2001/XMLSchema" xmlns:xs="http://www.w3.org/2001/XMLSchema" xmlns:p="http://schemas.microsoft.com/office/2006/metadata/properties" xmlns:ns2="be835336-9389-4aa2-917c-87b4700b2dda" xmlns:ns3="0c2df177-cbb8-4d93-bfbc-f08deed2942d" xmlns:ns4="52a80b62-27cb-4b8e-ad5c-9ed813b8c946" targetNamespace="http://schemas.microsoft.com/office/2006/metadata/properties" ma:root="true" ma:fieldsID="ad7e9ed7401d6baf16e7712b9476f6c9" ns2:_="" ns3:_="" ns4:_="">
    <xsd:import namespace="be835336-9389-4aa2-917c-87b4700b2dda"/>
    <xsd:import namespace="0c2df177-cbb8-4d93-bfbc-f08deed2942d"/>
    <xsd:import namespace="52a80b62-27cb-4b8e-ad5c-9ed813b8c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x0068_hw0"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35336-9389-4aa2-917c-87b4700b2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68_hw0" ma:index="18" nillable="true" ma:displayName="Person or Group" ma:list="UserInfo" ma:internalName="_x0068_hw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df177-cbb8-4d93-bfbc-f08deed294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a80b62-27cb-4b8e-ad5c-9ed813b8c94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400360-990c-41b3-a43c-64454dfcfd45}" ma:internalName="TaxCatchAll" ma:showField="CatchAllData" ma:web="52a80b62-27cb-4b8e-ad5c-9ed813b8c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0068_hw0 xmlns="be835336-9389-4aa2-917c-87b4700b2dda">
      <UserInfo>
        <DisplayName/>
        <AccountId xsi:nil="true"/>
        <AccountType/>
      </UserInfo>
    </_x0068_hw0>
    <SharedWithUsers xmlns="0c2df177-cbb8-4d93-bfbc-f08deed2942d">
      <UserInfo>
        <DisplayName/>
        <AccountId xsi:nil="true"/>
        <AccountType/>
      </UserInfo>
    </SharedWithUsers>
    <lcf76f155ced4ddcb4097134ff3c332f xmlns="be835336-9389-4aa2-917c-87b4700b2dda">
      <Terms xmlns="http://schemas.microsoft.com/office/infopath/2007/PartnerControls"/>
    </lcf76f155ced4ddcb4097134ff3c332f>
    <TaxCatchAll xmlns="52a80b62-27cb-4b8e-ad5c-9ed813b8c9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60ECF-3E7B-4C93-B1E5-54C17AA52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35336-9389-4aa2-917c-87b4700b2dda"/>
    <ds:schemaRef ds:uri="0c2df177-cbb8-4d93-bfbc-f08deed2942d"/>
    <ds:schemaRef ds:uri="52a80b62-27cb-4b8e-ad5c-9ed813b8c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16651-419F-4D4E-A110-41466E19D987}">
  <ds:schemaRefs>
    <ds:schemaRef ds:uri="http://schemas.openxmlformats.org/officeDocument/2006/bibliography"/>
  </ds:schemaRefs>
</ds:datastoreItem>
</file>

<file path=customXml/itemProps3.xml><?xml version="1.0" encoding="utf-8"?>
<ds:datastoreItem xmlns:ds="http://schemas.openxmlformats.org/officeDocument/2006/customXml" ds:itemID="{EC740382-B0C9-4664-87D8-F98096A69EA8}">
  <ds:schemaRefs>
    <ds:schemaRef ds:uri="http://schemas.microsoft.com/office/2006/metadata/properties"/>
    <ds:schemaRef ds:uri="http://schemas.microsoft.com/office/infopath/2007/PartnerControls"/>
    <ds:schemaRef ds:uri="be835336-9389-4aa2-917c-87b4700b2dda"/>
    <ds:schemaRef ds:uri="0c2df177-cbb8-4d93-bfbc-f08deed2942d"/>
    <ds:schemaRef ds:uri="52a80b62-27cb-4b8e-ad5c-9ed813b8c946"/>
  </ds:schemaRefs>
</ds:datastoreItem>
</file>

<file path=customXml/itemProps4.xml><?xml version="1.0" encoding="utf-8"?>
<ds:datastoreItem xmlns:ds="http://schemas.openxmlformats.org/officeDocument/2006/customXml" ds:itemID="{8436F787-CC0D-4CB6-AF8A-E53BEC75F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11173</CharactersWithSpaces>
  <SharedDoc>false</SharedDoc>
  <HLinks>
    <vt:vector size="36" baseType="variant">
      <vt:variant>
        <vt:i4>6029393</vt:i4>
      </vt:variant>
      <vt:variant>
        <vt:i4>15</vt:i4>
      </vt:variant>
      <vt:variant>
        <vt:i4>0</vt:i4>
      </vt:variant>
      <vt:variant>
        <vt:i4>5</vt:i4>
      </vt:variant>
      <vt:variant>
        <vt:lpwstr>https://www.azahcccs.gov/shared/MedicalPolicyManual/</vt:lpwstr>
      </vt:variant>
      <vt:variant>
        <vt:lpwstr/>
      </vt:variant>
      <vt:variant>
        <vt:i4>1900621</vt:i4>
      </vt:variant>
      <vt:variant>
        <vt:i4>12</vt:i4>
      </vt:variant>
      <vt:variant>
        <vt:i4>0</vt:i4>
      </vt:variant>
      <vt:variant>
        <vt:i4>5</vt:i4>
      </vt:variant>
      <vt:variant>
        <vt:lpwstr>https://www.azahcccs.gov/shared/Downloads/MedicalPolicyManual/400/411.pdf</vt:lpwstr>
      </vt:variant>
      <vt:variant>
        <vt:lpwstr/>
      </vt:variant>
      <vt:variant>
        <vt:i4>1966156</vt:i4>
      </vt:variant>
      <vt:variant>
        <vt:i4>9</vt:i4>
      </vt:variant>
      <vt:variant>
        <vt:i4>0</vt:i4>
      </vt:variant>
      <vt:variant>
        <vt:i4>5</vt:i4>
      </vt:variant>
      <vt:variant>
        <vt:lpwstr>https://www.azahcccs.gov/shared/Downloads/MedicalPolicyManual/400/420.pdf</vt:lpwstr>
      </vt:variant>
      <vt:variant>
        <vt:lpwstr/>
      </vt:variant>
      <vt:variant>
        <vt:i4>4325384</vt:i4>
      </vt:variant>
      <vt:variant>
        <vt:i4>6</vt:i4>
      </vt:variant>
      <vt:variant>
        <vt:i4>0</vt:i4>
      </vt:variant>
      <vt:variant>
        <vt:i4>5</vt:i4>
      </vt:variant>
      <vt:variant>
        <vt:lpwstr>https://www.azahcccs.gov/shared/Downloads/MedicalPolicyManual/400/400-3.docx</vt:lpwstr>
      </vt:variant>
      <vt:variant>
        <vt:lpwstr/>
      </vt:variant>
      <vt:variant>
        <vt:i4>917524</vt:i4>
      </vt:variant>
      <vt:variant>
        <vt:i4>3</vt:i4>
      </vt:variant>
      <vt:variant>
        <vt:i4>0</vt:i4>
      </vt:variant>
      <vt:variant>
        <vt:i4>5</vt:i4>
      </vt:variant>
      <vt:variant>
        <vt:lpwstr>https://www.azahcccs.gov/shared/Downloads/MedicalPolicyManual/300/310-BB.pdf</vt:lpwstr>
      </vt:variant>
      <vt:variant>
        <vt:lpwstr/>
      </vt:variant>
      <vt:variant>
        <vt:i4>1900620</vt:i4>
      </vt:variant>
      <vt:variant>
        <vt:i4>0</vt:i4>
      </vt:variant>
      <vt:variant>
        <vt:i4>0</vt:i4>
      </vt:variant>
      <vt:variant>
        <vt:i4>5</vt:i4>
      </vt:variant>
      <vt:variant>
        <vt:lpwstr>https://www.azahcccs.gov/shared/Downloads/MedicalPolicyManual/400/410.pdf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Ross</dc:creator>
  <cp:keywords/>
  <cp:lastModifiedBy>Salley, Rachael</cp:lastModifiedBy>
  <cp:revision>2</cp:revision>
  <cp:lastPrinted>2023-09-25T16:32:00Z</cp:lastPrinted>
  <dcterms:created xsi:type="dcterms:W3CDTF">2024-05-02T22:57:00Z</dcterms:created>
  <dcterms:modified xsi:type="dcterms:W3CDTF">2024-05-02T22:57:00Z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0x010100D09F85714A2EB54FA248AA5F6EB7DCC9</vt:lpwstr>
  </property>
  <property fmtid="{D5CDD505-2E9C-101B-9397-08002B2CF9AE}" pid="3" name="Checked Out">
    <vt:bool>false</vt:bool>
  </property>
  <property fmtid="{D5CDD505-2E9C-101B-9397-08002B2CF9AE}" pid="4" name="APC">
    <vt:bool>false</vt:bool>
  </property>
  <property fmtid="{D5CDD505-2E9C-101B-9397-08002B2CF9AE}" pid="5" name="AD Alternate 2">
    <vt:lpwstr/>
  </property>
  <property fmtid="{D5CDD505-2E9C-101B-9397-08002B2CF9AE}" pid="6" name="Urgent">
    <vt:bool>false</vt:bool>
  </property>
  <property fmtid="{D5CDD505-2E9C-101B-9397-08002B2CF9AE}" pid="7" name="AD Alternate 1">
    <vt:lpwstr/>
  </property>
  <property fmtid="{D5CDD505-2E9C-101B-9397-08002B2CF9AE}" pid="8" name="Order">
    <vt:r8>399700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