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D1E" w:rsidP="5B30D517" w:rsidRDefault="00326672" w14:paraId="20D84033" w14:textId="02FA0D86">
      <w:pPr>
        <w:spacing w:before="240" w:beforeAutospacing="off" w:after="240" w:afterAutospacing="off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B30D517" w:rsidR="1568E452">
        <w:rPr>
          <w:rFonts w:ascii="Times New Roman" w:hAnsi="Times New Roman" w:cs="Times New Roman"/>
          <w:b w:val="1"/>
          <w:bCs w:val="1"/>
          <w:sz w:val="28"/>
          <w:szCs w:val="28"/>
        </w:rPr>
        <w:t>Appendix L</w:t>
      </w:r>
    </w:p>
    <w:p w:rsidR="00B82D1E" w:rsidP="5B30D517" w:rsidRDefault="00326672" w14:paraId="4AB9D087" w14:textId="2393D330">
      <w:pPr>
        <w:spacing w:before="240" w:beforeAutospacing="off" w:after="240" w:afterAutospacing="off" w:line="240" w:lineRule="auto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5B30D517" w:rsidR="028BE63C">
        <w:rPr>
          <w:rFonts w:ascii="Times New Roman" w:hAnsi="Times New Roman" w:cs="Times New Roman"/>
          <w:b w:val="1"/>
          <w:bCs w:val="1"/>
          <w:sz w:val="28"/>
          <w:szCs w:val="28"/>
        </w:rPr>
        <w:t>Independent Auditor’s Attestation</w:t>
      </w:r>
      <w:r w:rsidRPr="5B30D517" w:rsidR="50CB3654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-</w:t>
      </w:r>
      <w:r w:rsidRPr="5B30D517" w:rsidR="37A28A97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5B30D517" w:rsidR="46996772">
        <w:rPr>
          <w:rFonts w:ascii="Times New Roman" w:hAnsi="Times New Roman" w:cs="Times New Roman"/>
          <w:b w:val="1"/>
          <w:bCs w:val="1"/>
          <w:sz w:val="28"/>
          <w:szCs w:val="28"/>
        </w:rPr>
        <w:t>CYE25</w:t>
      </w:r>
      <w:r w:rsidRPr="5B30D517" w:rsidR="16663A68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Stipulated </w:t>
      </w:r>
      <w:r w:rsidRPr="5B30D517" w:rsidR="2D9993D6">
        <w:rPr>
          <w:rFonts w:ascii="Times New Roman" w:hAnsi="Times New Roman" w:cs="Times New Roman"/>
          <w:b w:val="1"/>
          <w:bCs w:val="1"/>
          <w:sz w:val="28"/>
          <w:szCs w:val="28"/>
        </w:rPr>
        <w:t>Area</w:t>
      </w:r>
      <w:r w:rsidRPr="5B30D517" w:rsidR="1D4D8A94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of Audit Focus</w:t>
      </w:r>
    </w:p>
    <w:p w:rsidRPr="00210370" w:rsidR="00727081" w:rsidP="5B30D517" w:rsidRDefault="00727081" w14:paraId="047FE5B2" w14:textId="174E1ACA">
      <w:pPr>
        <w:pStyle w:val="Normal"/>
        <w:spacing w:before="240" w:beforeAutospacing="off" w:after="240" w:afterAutospacing="off" w:line="240" w:lineRule="auto"/>
        <w:jc w:val="center"/>
        <w:rPr>
          <w:rFonts w:ascii="Times New Roman" w:hAnsi="Times New Roman" w:cs="Times New Roman"/>
          <w:b w:val="1"/>
          <w:bCs w:val="1"/>
        </w:rPr>
      </w:pPr>
      <w:r w:rsidRPr="5B30D517" w:rsidR="1098BDAE">
        <w:rPr>
          <w:rFonts w:ascii="Times New Roman" w:hAnsi="Times New Roman" w:cs="Times New Roman"/>
          <w:b w:val="1"/>
          <w:bCs w:val="1"/>
        </w:rPr>
        <w:t>Line of Business: (Check all that apply)</w:t>
      </w:r>
    </w:p>
    <w:p w:rsidRPr="00210370" w:rsidR="00727081" w:rsidP="00A91621" w:rsidRDefault="00727081" w14:paraId="0744B83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:rsidRPr="007344E9" w:rsidR="00B82D1E" w:rsidP="5B30D517" w:rsidRDefault="00661F9D" w14:paraId="0AD3BF2E" w14:textId="01BACE83" w14:noSpellErr="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Times New Roman" w:hAnsi="Times New Roman" w:cs="Times New Roman"/>
        </w:rPr>
      </w:pPr>
      <w:sdt>
        <w:sdtPr>
          <w:id w:val="-1837302478"/>
          <w14:checkbox>
            <w14:checked w14:val="0"/>
            <w14:checkedState w14:val="0050" w14:font="Aptos Display"/>
            <w14:uncheckedState w14:val="2610" w14:font="MS Gothic"/>
          </w14:checkbox>
          <w:rPr>
            <w:rFonts w:ascii="Times New Roman" w:hAnsi="Times New Roman" w:cs="Times New Roman"/>
          </w:rPr>
        </w:sdtPr>
        <w:sdtContent>
          <w:r w:rsidRPr="5B30D517" w:rsidR="21058F82">
            <w:rPr>
              <w:rFonts w:ascii="MS Gothic" w:hAnsi="MS Gothic" w:eastAsia="MS Gothic" w:cs="Times New Roman"/>
            </w:rPr>
            <w:t>☐</w:t>
          </w:r>
        </w:sdtContent>
        <w:sdtEndPr>
          <w:rPr>
            <w:rFonts w:ascii="Times New Roman" w:hAnsi="Times New Roman" w:cs="Times New Roman"/>
          </w:rPr>
        </w:sdtEndPr>
      </w:sdt>
      <w:r w:rsidRPr="5B30D517" w:rsidR="1098BDAE">
        <w:rPr>
          <w:rFonts w:ascii="Times New Roman" w:hAnsi="Times New Roman" w:cs="Times New Roman"/>
        </w:rPr>
        <w:t xml:space="preserve">  ACC</w:t>
      </w:r>
      <w:r>
        <w:tab/>
      </w:r>
      <w:sdt>
        <w:sdtPr>
          <w:id w:val="1830009119"/>
          <w14:checkbox>
            <w14:checked w14:val="0"/>
            <w14:checkedState w14:val="0050" w14:font="Aptos Display"/>
            <w14:uncheckedState w14:val="2610" w14:font="MS Gothic"/>
          </w14:checkbox>
          <w:rPr>
            <w:rFonts w:ascii="Times New Roman" w:hAnsi="Times New Roman" w:cs="Times New Roman"/>
          </w:rPr>
        </w:sdtPr>
        <w:sdtContent>
          <w:r w:rsidRPr="5B30D517" w:rsidR="21058F82">
            <w:rPr>
              <w:rFonts w:ascii="MS Gothic" w:hAnsi="MS Gothic" w:eastAsia="MS Gothic" w:cs="Times New Roman"/>
            </w:rPr>
            <w:t>☐</w:t>
          </w:r>
        </w:sdtContent>
        <w:sdtEndPr>
          <w:rPr>
            <w:rFonts w:ascii="Times New Roman" w:hAnsi="Times New Roman" w:cs="Times New Roman"/>
          </w:rPr>
        </w:sdtEndPr>
      </w:sdt>
      <w:r w:rsidRPr="5B30D517" w:rsidR="1098BDAE">
        <w:rPr>
          <w:rFonts w:ascii="Times New Roman" w:hAnsi="Times New Roman" w:cs="Times New Roman"/>
        </w:rPr>
        <w:t xml:space="preserve">  ACC-RBHA</w:t>
      </w:r>
      <w:r>
        <w:tab/>
      </w:r>
      <w:sdt>
        <w:sdtPr>
          <w:id w:val="-834455495"/>
          <w14:checkbox>
            <w14:checked w14:val="0"/>
            <w14:checkedState w14:val="0050" w14:font="Aptos Display"/>
            <w14:uncheckedState w14:val="2610" w14:font="MS Gothic"/>
          </w14:checkbox>
          <w:rPr>
            <w:rFonts w:ascii="Times New Roman" w:hAnsi="Times New Roman" w:cs="Times New Roman"/>
          </w:rPr>
        </w:sdtPr>
        <w:sdtContent>
          <w:r w:rsidRPr="5B30D517" w:rsidR="21058F82">
            <w:rPr>
              <w:rFonts w:ascii="MS Gothic" w:hAnsi="MS Gothic" w:eastAsia="MS Gothic" w:cs="Times New Roman"/>
            </w:rPr>
            <w:t>☐</w:t>
          </w:r>
        </w:sdtContent>
        <w:sdtEndPr>
          <w:rPr>
            <w:rFonts w:ascii="Times New Roman" w:hAnsi="Times New Roman" w:cs="Times New Roman"/>
          </w:rPr>
        </w:sdtEndPr>
      </w:sdt>
      <w:r w:rsidRPr="5B30D517" w:rsidR="1098BDAE">
        <w:rPr>
          <w:rFonts w:ascii="Times New Roman" w:hAnsi="Times New Roman" w:cs="Times New Roman"/>
        </w:rPr>
        <w:t xml:space="preserve">  ALTCS E/PD</w:t>
      </w:r>
      <w:r>
        <w:tab/>
      </w:r>
      <w:sdt>
        <w:sdtPr>
          <w:id w:val="123044589"/>
          <w14:checkbox>
            <w14:checked w14:val="0"/>
            <w14:checkedState w14:val="0050" w14:font="Aptos Display"/>
            <w14:uncheckedState w14:val="2610" w14:font="MS Gothic"/>
          </w14:checkbox>
          <w:rPr>
            <w:rFonts w:ascii="Times New Roman" w:hAnsi="Times New Roman" w:cs="Times New Roman"/>
          </w:rPr>
        </w:sdtPr>
        <w:sdtContent>
          <w:r w:rsidRPr="5B30D517" w:rsidR="10916777">
            <w:rPr>
              <w:rFonts w:ascii="MS Gothic" w:hAnsi="MS Gothic" w:eastAsia="MS Gothic" w:cs="Times New Roman"/>
            </w:rPr>
            <w:t>☐</w:t>
          </w:r>
        </w:sdtContent>
        <w:sdtEndPr>
          <w:rPr>
            <w:rFonts w:ascii="Times New Roman" w:hAnsi="Times New Roman" w:cs="Times New Roman"/>
          </w:rPr>
        </w:sdtEndPr>
      </w:sdt>
      <w:r w:rsidRPr="5B30D517" w:rsidR="1098BDAE">
        <w:rPr>
          <w:rFonts w:ascii="Times New Roman" w:hAnsi="Times New Roman" w:cs="Times New Roman"/>
        </w:rPr>
        <w:t xml:space="preserve">  GOV</w:t>
      </w:r>
      <w:r>
        <w:tab/>
      </w:r>
      <w:sdt>
        <w:sdtPr>
          <w:id w:val="404655205"/>
          <w14:checkbox>
            <w14:checked w14:val="0"/>
            <w14:checkedState w14:val="0050" w14:font="Aptos Display"/>
            <w14:uncheckedState w14:val="2610" w14:font="MS Gothic"/>
          </w14:checkbox>
          <w:rPr>
            <w:rFonts w:ascii="Times New Roman" w:hAnsi="Times New Roman" w:cs="Times New Roman"/>
          </w:rPr>
        </w:sdtPr>
        <w:sdtContent>
          <w:r w:rsidRPr="5B30D517" w:rsidR="1098BDAE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Times New Roman" w:hAnsi="Times New Roman" w:cs="Times New Roman"/>
          </w:rPr>
        </w:sdtEndPr>
      </w:sdt>
      <w:r w:rsidRPr="5B30D517" w:rsidR="1098BDAE">
        <w:rPr>
          <w:rFonts w:ascii="Times New Roman" w:hAnsi="Times New Roman" w:cs="Times New Roman"/>
        </w:rPr>
        <w:t xml:space="preserve">  MAPD</w:t>
      </w:r>
    </w:p>
    <w:p w:rsidR="00417246" w:rsidRDefault="00417246" w14:paraId="2CAB1EC7" w14:textId="77777777">
      <w:pPr>
        <w:rPr>
          <w:rFonts w:ascii="Times New Roman" w:hAnsi="Times New Roman" w:cs="Times New Roman"/>
        </w:rPr>
      </w:pPr>
    </w:p>
    <w:p w:rsidRPr="003D4256" w:rsidR="002E74C5" w:rsidRDefault="00810E57" w14:paraId="0A5AD4B9" w14:textId="4BCA5852">
      <w:pPr>
        <w:rPr>
          <w:rFonts w:ascii="Times New Roman" w:hAnsi="Times New Roman" w:cs="Times New Roman"/>
        </w:rPr>
      </w:pPr>
      <w:r w:rsidRPr="003D4256">
        <w:rPr>
          <w:rFonts w:ascii="Times New Roman" w:hAnsi="Times New Roman" w:cs="Times New Roman"/>
        </w:rPr>
        <w:t>As indicated by checking the boxes, I certify the following:</w:t>
      </w:r>
    </w:p>
    <w:p w:rsidR="00B22FD3" w:rsidP="007038C3" w:rsidRDefault="00661F9D" w14:paraId="2832901F" w14:textId="77777777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83559451"/>
          <w14:checkbox>
            <w14:checked w14:val="0"/>
            <w14:checkedState w14:val="0050" w14:font="Aptos Display"/>
            <w14:uncheckedState w14:val="2610" w14:font="MS Gothic"/>
          </w14:checkbox>
        </w:sdtPr>
        <w:sdtContent>
          <w:r w:rsidR="00FB577B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3D4256" w:rsidR="00720044">
        <w:rPr>
          <w:rFonts w:ascii="Times New Roman" w:hAnsi="Times New Roman" w:cs="Times New Roman"/>
        </w:rPr>
        <w:t xml:space="preserve">  </w:t>
      </w:r>
      <w:r w:rsidRPr="003D4256" w:rsidR="00810E57">
        <w:rPr>
          <w:rFonts w:ascii="Times New Roman" w:hAnsi="Times New Roman" w:cs="Times New Roman"/>
        </w:rPr>
        <w:t>The Contractor’s Sub-Capitated/Block Expenses Report</w:t>
      </w:r>
      <w:r w:rsidRPr="003D4256" w:rsidR="00BF3092">
        <w:rPr>
          <w:rFonts w:ascii="Times New Roman" w:hAnsi="Times New Roman" w:cs="Times New Roman"/>
        </w:rPr>
        <w:t>s</w:t>
      </w:r>
      <w:r w:rsidRPr="003D4256" w:rsidR="00810E57">
        <w:rPr>
          <w:rFonts w:ascii="Times New Roman" w:hAnsi="Times New Roman" w:cs="Times New Roman"/>
        </w:rPr>
        <w:t xml:space="preserve"> adhere to the requirements set forth in Sub-Capitated/Block Expenses Report </w:t>
      </w:r>
      <w:r w:rsidRPr="003D4256" w:rsidR="007C23B1">
        <w:rPr>
          <w:rFonts w:ascii="Times New Roman" w:hAnsi="Times New Roman" w:cs="Times New Roman"/>
        </w:rPr>
        <w:t xml:space="preserve">section </w:t>
      </w:r>
      <w:r w:rsidRPr="003D4256" w:rsidR="00810E57">
        <w:rPr>
          <w:rFonts w:ascii="Times New Roman" w:hAnsi="Times New Roman" w:cs="Times New Roman"/>
        </w:rPr>
        <w:t xml:space="preserve">of the AHCCCS Financial Reporting </w:t>
      </w:r>
      <w:r w:rsidR="00762893">
        <w:rPr>
          <w:rFonts w:ascii="Times New Roman" w:hAnsi="Times New Roman" w:cs="Times New Roman"/>
        </w:rPr>
        <w:t>G</w:t>
      </w:r>
      <w:r w:rsidRPr="003D4256" w:rsidR="00810E57">
        <w:rPr>
          <w:rFonts w:ascii="Times New Roman" w:hAnsi="Times New Roman" w:cs="Times New Roman"/>
        </w:rPr>
        <w:t>uide.</w:t>
      </w:r>
    </w:p>
    <w:p w:rsidRPr="00FB577B" w:rsidR="00F6722C" w:rsidP="77893E17" w:rsidRDefault="00661F9D" w14:paraId="5A6D92E5" w14:textId="5DA263AF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sdt>
        <w:sdtPr>
          <w:rPr>
            <w:rFonts w:ascii="Times New Roman" w:hAnsi="Times New Roman" w:cs="Times New Roman"/>
          </w:rPr>
          <w:id w:val="-1844007167"/>
          <w14:checkbox>
            <w14:checked w14:val="0"/>
            <w14:checkedState w14:val="0050" w14:font="Aptos Display"/>
            <w14:uncheckedState w14:val="2610" w14:font="MS Gothic"/>
          </w14:checkbox>
        </w:sdtPr>
        <w:sdtContent>
          <w:r w:rsidRPr="77893E17" w:rsidR="00FB577B">
            <w:rPr>
              <w:rFonts w:ascii="MS Gothic" w:hAnsi="MS Gothic" w:eastAsia="MS Gothic" w:cs="Times New Roman"/>
            </w:rPr>
            <w:t>☐</w:t>
          </w:r>
        </w:sdtContent>
      </w:sdt>
      <w:r w:rsidRPr="77893E17" w:rsidR="00720044">
        <w:rPr>
          <w:rFonts w:ascii="Times New Roman" w:hAnsi="Times New Roman" w:cs="Times New Roman"/>
        </w:rPr>
        <w:t xml:space="preserve">  </w:t>
      </w:r>
      <w:r w:rsidRPr="77893E17" w:rsidR="00417246">
        <w:rPr>
          <w:rFonts w:ascii="Times New Roman" w:hAnsi="Times New Roman" w:cs="Times New Roman"/>
        </w:rPr>
        <w:t xml:space="preserve">Amounts </w:t>
      </w:r>
      <w:r w:rsidRPr="77893E17" w:rsidR="007C23B1">
        <w:rPr>
          <w:rFonts w:ascii="Times New Roman" w:hAnsi="Times New Roman" w:cs="Times New Roman"/>
        </w:rPr>
        <w:t>are</w:t>
      </w:r>
      <w:r w:rsidRPr="77893E17" w:rsidR="00290091">
        <w:rPr>
          <w:rFonts w:ascii="Times New Roman" w:hAnsi="Times New Roman" w:cs="Times New Roman"/>
        </w:rPr>
        <w:t xml:space="preserve"> appropriately</w:t>
      </w:r>
      <w:r w:rsidRPr="77893E17" w:rsidR="007C23B1">
        <w:rPr>
          <w:rFonts w:ascii="Times New Roman" w:hAnsi="Times New Roman" w:cs="Times New Roman"/>
        </w:rPr>
        <w:t xml:space="preserve"> reported </w:t>
      </w:r>
      <w:r w:rsidRPr="77893E17" w:rsidR="00F6722C">
        <w:rPr>
          <w:rFonts w:ascii="Times New Roman" w:hAnsi="Times New Roman" w:cs="Times New Roman"/>
        </w:rPr>
        <w:t xml:space="preserve">by </w:t>
      </w:r>
      <w:r w:rsidRPr="77893E17" w:rsidR="00ED2EED">
        <w:rPr>
          <w:rFonts w:ascii="Times New Roman" w:hAnsi="Times New Roman" w:cs="Times New Roman"/>
        </w:rPr>
        <w:t>the risk</w:t>
      </w:r>
      <w:r w:rsidRPr="77893E17" w:rsidR="00F6722C">
        <w:rPr>
          <w:rFonts w:ascii="Times New Roman" w:hAnsi="Times New Roman" w:cs="Times New Roman"/>
        </w:rPr>
        <w:t xml:space="preserve"> group</w:t>
      </w:r>
      <w:r w:rsidRPr="77893E17" w:rsidR="00ED2EED">
        <w:rPr>
          <w:rFonts w:ascii="Times New Roman" w:hAnsi="Times New Roman" w:cs="Times New Roman"/>
        </w:rPr>
        <w:t xml:space="preserve"> and </w:t>
      </w:r>
      <w:r w:rsidRPr="77893E17" w:rsidR="006646E8">
        <w:rPr>
          <w:rFonts w:ascii="Times New Roman" w:hAnsi="Times New Roman" w:cs="Times New Roman"/>
        </w:rPr>
        <w:t>by individual expense line item</w:t>
      </w:r>
      <w:r w:rsidRPr="77893E17" w:rsidR="00D22CD4">
        <w:rPr>
          <w:rFonts w:ascii="Times New Roman" w:hAnsi="Times New Roman" w:cs="Times New Roman"/>
        </w:rPr>
        <w:t xml:space="preserve"> on a</w:t>
      </w:r>
      <w:r w:rsidRPr="77893E17" w:rsidR="006646E8">
        <w:rPr>
          <w:rFonts w:ascii="Times New Roman" w:hAnsi="Times New Roman" w:cs="Times New Roman"/>
        </w:rPr>
        <w:t xml:space="preserve"> da</w:t>
      </w:r>
      <w:r w:rsidRPr="77893E17" w:rsidR="00D22CD4">
        <w:rPr>
          <w:rFonts w:ascii="Times New Roman" w:hAnsi="Times New Roman" w:cs="Times New Roman"/>
        </w:rPr>
        <w:t xml:space="preserve">te of service basis for </w:t>
      </w:r>
      <w:r w:rsidRPr="77893E17" w:rsidR="00636561">
        <w:rPr>
          <w:rFonts w:ascii="Times New Roman" w:hAnsi="Times New Roman" w:cs="Times New Roman"/>
        </w:rPr>
        <w:t>CYE25</w:t>
      </w:r>
      <w:r w:rsidRPr="77893E17" w:rsidR="007C23B1">
        <w:rPr>
          <w:rFonts w:ascii="Times New Roman" w:hAnsi="Times New Roman" w:cs="Times New Roman"/>
        </w:rPr>
        <w:t xml:space="preserve"> in the Contractor’s Sub-Capitated/Block Expenses Reports</w:t>
      </w:r>
      <w:bookmarkStart w:name="_Int_zooDDzBf" w:id="0"/>
      <w:r w:rsidRPr="77893E17" w:rsidR="00F6722C">
        <w:rPr>
          <w:rFonts w:ascii="Times New Roman" w:hAnsi="Times New Roman" w:cs="Times New Roman"/>
        </w:rPr>
        <w:t>.</w:t>
      </w:r>
      <w:r w:rsidRPr="77893E17" w:rsidR="00FB577B">
        <w:rPr>
          <w:rFonts w:ascii="Times New Roman" w:hAnsi="Times New Roman" w:cs="Times New Roman"/>
        </w:rPr>
        <w:t xml:space="preserve">  </w:t>
      </w:r>
      <w:bookmarkEnd w:id="0"/>
      <w:r w:rsidRPr="77893E17" w:rsidR="00417246">
        <w:rPr>
          <w:rFonts w:ascii="Times New Roman" w:hAnsi="Times New Roman" w:cs="Times New Roman"/>
        </w:rPr>
        <w:t xml:space="preserve">Expenses were reviewed and </w:t>
      </w:r>
      <w:proofErr w:type="gramStart"/>
      <w:r w:rsidRPr="77893E17" w:rsidR="00417246">
        <w:rPr>
          <w:rFonts w:ascii="Times New Roman" w:hAnsi="Times New Roman" w:cs="Times New Roman"/>
        </w:rPr>
        <w:t>include</w:t>
      </w:r>
      <w:proofErr w:type="gramEnd"/>
      <w:r w:rsidRPr="77893E17" w:rsidR="00417246">
        <w:rPr>
          <w:rFonts w:ascii="Times New Roman" w:hAnsi="Times New Roman" w:cs="Times New Roman"/>
        </w:rPr>
        <w:t xml:space="preserve"> only the amounts subcontractors paid to the providers for Medicaid covered services to enrollees</w:t>
      </w:r>
      <w:bookmarkStart w:name="_Int_0qN8ipta" w:id="1"/>
      <w:r w:rsidRPr="77893E17" w:rsidR="00417246">
        <w:rPr>
          <w:rFonts w:ascii="Times New Roman" w:hAnsi="Times New Roman" w:cs="Times New Roman"/>
        </w:rPr>
        <w:t xml:space="preserve">.  </w:t>
      </w:r>
      <w:bookmarkEnd w:id="1"/>
      <w:r w:rsidRPr="77893E17" w:rsidR="00FB577B">
        <w:rPr>
          <w:rFonts w:ascii="Times New Roman" w:hAnsi="Times New Roman" w:cs="Times New Roman"/>
        </w:rPr>
        <w:t>Specifically, Sub-Capitated/Block Expenses align with contractual requirements</w:t>
      </w:r>
      <w:bookmarkStart w:name="_Int_PL1442WP" w:id="2"/>
      <w:r w:rsidRPr="77893E17" w:rsidR="00FB577B">
        <w:rPr>
          <w:rFonts w:ascii="Times New Roman" w:hAnsi="Times New Roman" w:cs="Times New Roman"/>
        </w:rPr>
        <w:t xml:space="preserve">.  </w:t>
      </w:r>
      <w:bookmarkEnd w:id="2"/>
      <w:r w:rsidRPr="77893E17" w:rsidR="00FB577B">
        <w:rPr>
          <w:rFonts w:ascii="Times New Roman" w:hAnsi="Times New Roman" w:cs="Times New Roman"/>
        </w:rPr>
        <w:t xml:space="preserve">Payments </w:t>
      </w:r>
      <w:r w:rsidRPr="77893E17" w:rsidR="00417246">
        <w:rPr>
          <w:rFonts w:ascii="Times New Roman" w:hAnsi="Times New Roman" w:cs="Times New Roman"/>
        </w:rPr>
        <w:t xml:space="preserve">were </w:t>
      </w:r>
      <w:r w:rsidRPr="77893E17" w:rsidR="00FB577B">
        <w:rPr>
          <w:rFonts w:ascii="Times New Roman" w:hAnsi="Times New Roman" w:cs="Times New Roman"/>
        </w:rPr>
        <w:t xml:space="preserve">made in accordance with valid contracts </w:t>
      </w:r>
      <w:bookmarkStart w:name="_Int_g0FbddCS" w:id="3"/>
      <w:r w:rsidRPr="77893E17" w:rsidR="00FB577B">
        <w:rPr>
          <w:rFonts w:ascii="Times New Roman" w:hAnsi="Times New Roman" w:cs="Times New Roman"/>
        </w:rPr>
        <w:t>to</w:t>
      </w:r>
      <w:bookmarkEnd w:id="3"/>
      <w:r w:rsidRPr="77893E17" w:rsidR="00FB577B">
        <w:rPr>
          <w:rFonts w:ascii="Times New Roman" w:hAnsi="Times New Roman" w:cs="Times New Roman"/>
        </w:rPr>
        <w:t xml:space="preserve"> legitimate providers</w:t>
      </w:r>
      <w:bookmarkStart w:name="_Int_qpIHXKBl" w:id="4"/>
      <w:r w:rsidRPr="77893E17" w:rsidR="00FB577B">
        <w:rPr>
          <w:rFonts w:ascii="Times New Roman" w:hAnsi="Times New Roman" w:cs="Times New Roman"/>
        </w:rPr>
        <w:t xml:space="preserve">.  </w:t>
      </w:r>
      <w:bookmarkEnd w:id="4"/>
      <w:r w:rsidRPr="77893E17" w:rsidR="00FB577B">
        <w:rPr>
          <w:rFonts w:ascii="Times New Roman" w:hAnsi="Times New Roman" w:cs="Times New Roman"/>
        </w:rPr>
        <w:t xml:space="preserve">  Any expense allocation methodology between benefit and non-benefit expenses has been reviewed for accuracy and completeness.</w:t>
      </w:r>
    </w:p>
    <w:p w:rsidRPr="003D4256" w:rsidR="00C5105A" w:rsidP="007038C3" w:rsidRDefault="00661F9D" w14:paraId="2B0D2134" w14:textId="36AC5656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38278322"/>
          <w14:checkbox>
            <w14:checked w14:val="0"/>
            <w14:checkedState w14:val="0050" w14:font="Aptos Display"/>
            <w14:uncheckedState w14:val="2610" w14:font="MS Gothic"/>
          </w14:checkbox>
        </w:sdtPr>
        <w:sdtContent>
          <w:r w:rsidRPr="77893E17" w:rsidR="00FB577B">
            <w:rPr>
              <w:rFonts w:ascii="MS Gothic" w:hAnsi="MS Gothic" w:eastAsia="MS Gothic" w:cs="Times New Roman"/>
            </w:rPr>
            <w:t>☐</w:t>
          </w:r>
        </w:sdtContent>
      </w:sdt>
      <w:r w:rsidRPr="77893E17" w:rsidR="00EF3D0B">
        <w:rPr>
          <w:rFonts w:ascii="Times New Roman" w:hAnsi="Times New Roman" w:cs="Times New Roman"/>
        </w:rPr>
        <w:t xml:space="preserve"> </w:t>
      </w:r>
      <w:r w:rsidRPr="77893E17" w:rsidR="00810E57">
        <w:rPr>
          <w:rFonts w:ascii="Times New Roman" w:hAnsi="Times New Roman" w:cs="Times New Roman"/>
        </w:rPr>
        <w:t xml:space="preserve">If </w:t>
      </w:r>
      <w:r w:rsidRPr="77893E17" w:rsidR="003315EA">
        <w:rPr>
          <w:rFonts w:ascii="Times New Roman" w:hAnsi="Times New Roman" w:cs="Times New Roman"/>
        </w:rPr>
        <w:t>any</w:t>
      </w:r>
      <w:r w:rsidRPr="77893E17" w:rsidR="00810E57">
        <w:rPr>
          <w:rFonts w:ascii="Times New Roman" w:hAnsi="Times New Roman" w:cs="Times New Roman"/>
        </w:rPr>
        <w:t xml:space="preserve"> </w:t>
      </w:r>
      <w:r w:rsidRPr="77893E17" w:rsidR="001536CB">
        <w:rPr>
          <w:rFonts w:ascii="Times New Roman" w:hAnsi="Times New Roman" w:cs="Times New Roman"/>
        </w:rPr>
        <w:t xml:space="preserve">changes were made to the </w:t>
      </w:r>
      <w:r w:rsidRPr="77893E17" w:rsidR="003A7921">
        <w:rPr>
          <w:rFonts w:ascii="Times New Roman" w:hAnsi="Times New Roman" w:cs="Times New Roman"/>
        </w:rPr>
        <w:t>CYE</w:t>
      </w:r>
      <w:r w:rsidRPr="77893E17" w:rsidR="001536CB">
        <w:rPr>
          <w:rFonts w:ascii="Times New Roman" w:hAnsi="Times New Roman" w:cs="Times New Roman"/>
        </w:rPr>
        <w:t xml:space="preserve">24 </w:t>
      </w:r>
      <w:r w:rsidRPr="77893E17" w:rsidR="00D764C9">
        <w:rPr>
          <w:rFonts w:ascii="Times New Roman" w:hAnsi="Times New Roman" w:cs="Times New Roman"/>
        </w:rPr>
        <w:t>S</w:t>
      </w:r>
      <w:r w:rsidRPr="77893E17" w:rsidR="001536CB">
        <w:rPr>
          <w:rFonts w:ascii="Times New Roman" w:hAnsi="Times New Roman" w:cs="Times New Roman"/>
        </w:rPr>
        <w:t>ub-</w:t>
      </w:r>
      <w:r w:rsidRPr="77893E17" w:rsidR="00D764C9">
        <w:rPr>
          <w:rFonts w:ascii="Times New Roman" w:hAnsi="Times New Roman" w:cs="Times New Roman"/>
        </w:rPr>
        <w:t>C</w:t>
      </w:r>
      <w:r w:rsidRPr="77893E17" w:rsidR="001536CB">
        <w:rPr>
          <w:rFonts w:ascii="Times New Roman" w:hAnsi="Times New Roman" w:cs="Times New Roman"/>
        </w:rPr>
        <w:t>apitated/</w:t>
      </w:r>
      <w:r w:rsidRPr="77893E17" w:rsidR="00D764C9">
        <w:rPr>
          <w:rFonts w:ascii="Times New Roman" w:hAnsi="Times New Roman" w:cs="Times New Roman"/>
        </w:rPr>
        <w:t>B</w:t>
      </w:r>
      <w:r w:rsidRPr="77893E17" w:rsidR="001536CB">
        <w:rPr>
          <w:rFonts w:ascii="Times New Roman" w:hAnsi="Times New Roman" w:cs="Times New Roman"/>
        </w:rPr>
        <w:t xml:space="preserve">lock </w:t>
      </w:r>
      <w:r w:rsidRPr="77893E17" w:rsidR="00D764C9">
        <w:rPr>
          <w:rFonts w:ascii="Times New Roman" w:hAnsi="Times New Roman" w:cs="Times New Roman"/>
        </w:rPr>
        <w:t>E</w:t>
      </w:r>
      <w:r w:rsidRPr="77893E17" w:rsidR="001536CB">
        <w:rPr>
          <w:rFonts w:ascii="Times New Roman" w:hAnsi="Times New Roman" w:cs="Times New Roman"/>
        </w:rPr>
        <w:t xml:space="preserve">xpense </w:t>
      </w:r>
      <w:r w:rsidRPr="77893E17" w:rsidR="00D764C9">
        <w:rPr>
          <w:rFonts w:ascii="Times New Roman" w:hAnsi="Times New Roman" w:cs="Times New Roman"/>
        </w:rPr>
        <w:t>R</w:t>
      </w:r>
      <w:r w:rsidRPr="77893E17" w:rsidR="001536CB">
        <w:rPr>
          <w:rFonts w:ascii="Times New Roman" w:hAnsi="Times New Roman" w:cs="Times New Roman"/>
        </w:rPr>
        <w:t xml:space="preserve">eports after the </w:t>
      </w:r>
      <w:r w:rsidRPr="77893E17" w:rsidR="00296781">
        <w:rPr>
          <w:rFonts w:ascii="Times New Roman" w:hAnsi="Times New Roman" w:cs="Times New Roman"/>
        </w:rPr>
        <w:t xml:space="preserve">prior </w:t>
      </w:r>
      <w:r w:rsidRPr="77893E17" w:rsidR="001536CB">
        <w:rPr>
          <w:rFonts w:ascii="Times New Roman" w:hAnsi="Times New Roman" w:cs="Times New Roman"/>
        </w:rPr>
        <w:t xml:space="preserve">fiscal year audit was completed, then both the revised </w:t>
      </w:r>
      <w:r w:rsidRPr="77893E17" w:rsidR="00D234EA">
        <w:rPr>
          <w:rFonts w:ascii="Times New Roman" w:hAnsi="Times New Roman" w:cs="Times New Roman"/>
        </w:rPr>
        <w:t>CYE</w:t>
      </w:r>
      <w:r w:rsidRPr="77893E17" w:rsidR="001536CB">
        <w:rPr>
          <w:rFonts w:ascii="Times New Roman" w:hAnsi="Times New Roman" w:cs="Times New Roman"/>
        </w:rPr>
        <w:t xml:space="preserve">24 and </w:t>
      </w:r>
      <w:r w:rsidRPr="77893E17" w:rsidR="00D234EA">
        <w:rPr>
          <w:rFonts w:ascii="Times New Roman" w:hAnsi="Times New Roman" w:cs="Times New Roman"/>
        </w:rPr>
        <w:t>CYE</w:t>
      </w:r>
      <w:r w:rsidRPr="77893E17" w:rsidR="00C5105A">
        <w:rPr>
          <w:rFonts w:ascii="Times New Roman" w:hAnsi="Times New Roman" w:cs="Times New Roman"/>
        </w:rPr>
        <w:t xml:space="preserve">25 </w:t>
      </w:r>
      <w:r w:rsidRPr="77893E17" w:rsidR="00523A95">
        <w:rPr>
          <w:rFonts w:ascii="Times New Roman" w:hAnsi="Times New Roman" w:cs="Times New Roman"/>
        </w:rPr>
        <w:t xml:space="preserve">reports </w:t>
      </w:r>
      <w:r w:rsidRPr="77893E17" w:rsidR="00A66B31">
        <w:rPr>
          <w:rFonts w:ascii="Times New Roman" w:hAnsi="Times New Roman" w:cs="Times New Roman"/>
        </w:rPr>
        <w:t xml:space="preserve">were </w:t>
      </w:r>
      <w:r w:rsidRPr="77893E17" w:rsidR="00C5105A">
        <w:rPr>
          <w:rFonts w:ascii="Times New Roman" w:hAnsi="Times New Roman" w:cs="Times New Roman"/>
        </w:rPr>
        <w:t xml:space="preserve">audited and attested to during the </w:t>
      </w:r>
      <w:r w:rsidRPr="77893E17" w:rsidR="3A4CDA36">
        <w:rPr>
          <w:rFonts w:ascii="Times New Roman" w:hAnsi="Times New Roman" w:cs="Times New Roman"/>
        </w:rPr>
        <w:t>fiscal year audit (</w:t>
      </w:r>
      <w:r w:rsidRPr="77893E17" w:rsidR="00160B5A">
        <w:rPr>
          <w:rFonts w:ascii="Times New Roman" w:hAnsi="Times New Roman" w:cs="Times New Roman"/>
        </w:rPr>
        <w:t>FY</w:t>
      </w:r>
      <w:r w:rsidRPr="77893E17" w:rsidR="00B31698">
        <w:rPr>
          <w:rFonts w:ascii="Times New Roman" w:hAnsi="Times New Roman" w:cs="Times New Roman"/>
        </w:rPr>
        <w:t xml:space="preserve">25 </w:t>
      </w:r>
      <w:r w:rsidRPr="77893E17" w:rsidR="00B56DE4">
        <w:rPr>
          <w:rFonts w:ascii="Times New Roman" w:hAnsi="Times New Roman" w:cs="Times New Roman"/>
        </w:rPr>
        <w:t>audit fiscal year end 9/30 and 12/31)</w:t>
      </w:r>
      <w:r w:rsidRPr="77893E17" w:rsidR="7654A9C7">
        <w:rPr>
          <w:rFonts w:ascii="Times New Roman" w:hAnsi="Times New Roman" w:cs="Times New Roman"/>
        </w:rPr>
        <w:t xml:space="preserve"> or FY26 audit (fiscal year end 06/30)</w:t>
      </w:r>
      <w:r w:rsidRPr="77893E17" w:rsidR="00C5105A">
        <w:rPr>
          <w:rFonts w:ascii="Times New Roman" w:hAnsi="Times New Roman" w:cs="Times New Roman"/>
        </w:rPr>
        <w:t>.</w:t>
      </w:r>
    </w:p>
    <w:bookmarkStart w:name="_Hlk193206866" w:id="5"/>
    <w:p w:rsidR="00DF641D" w:rsidP="007038C3" w:rsidRDefault="00661F9D" w14:paraId="6BFD6555" w14:textId="6584AFC0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69686759"/>
          <w14:checkbox>
            <w14:checked w14:val="0"/>
            <w14:checkedState w14:val="0050" w14:font="Aptos Display"/>
            <w14:uncheckedState w14:val="2610" w14:font="MS Gothic"/>
          </w14:checkbox>
        </w:sdtPr>
        <w:sdtContent>
          <w:r w:rsidRPr="77893E17" w:rsidR="00FB577B">
            <w:rPr>
              <w:rFonts w:ascii="MS Gothic" w:hAnsi="MS Gothic" w:eastAsia="MS Gothic" w:cs="Times New Roman"/>
            </w:rPr>
            <w:t>☐</w:t>
          </w:r>
        </w:sdtContent>
      </w:sdt>
      <w:r w:rsidRPr="77893E17" w:rsidR="00EF3D0B">
        <w:rPr>
          <w:rFonts w:ascii="Times New Roman" w:hAnsi="Times New Roman" w:cs="Times New Roman"/>
        </w:rPr>
        <w:t xml:space="preserve">  </w:t>
      </w:r>
      <w:bookmarkEnd w:id="5"/>
      <w:r w:rsidRPr="77893E17" w:rsidR="00296781">
        <w:rPr>
          <w:rFonts w:ascii="Times New Roman" w:hAnsi="Times New Roman" w:cs="Times New Roman"/>
        </w:rPr>
        <w:t xml:space="preserve">Any </w:t>
      </w:r>
      <w:r w:rsidRPr="77893E17" w:rsidR="00146354">
        <w:rPr>
          <w:rFonts w:ascii="Times New Roman" w:hAnsi="Times New Roman" w:cs="Times New Roman"/>
        </w:rPr>
        <w:t xml:space="preserve">contractually required under-encountered amounts of a Provider forgiven by the Contractor </w:t>
      </w:r>
      <w:r w:rsidRPr="77893E17" w:rsidR="00296781">
        <w:rPr>
          <w:rFonts w:ascii="Times New Roman" w:hAnsi="Times New Roman" w:cs="Times New Roman"/>
        </w:rPr>
        <w:t>have been removed from the Sub-Capitated/Block Expenses Report</w:t>
      </w:r>
      <w:r w:rsidRPr="77893E17" w:rsidR="00BF3092">
        <w:rPr>
          <w:rFonts w:ascii="Times New Roman" w:hAnsi="Times New Roman" w:cs="Times New Roman"/>
        </w:rPr>
        <w:t>s</w:t>
      </w:r>
      <w:r w:rsidRPr="77893E17" w:rsidR="00296781">
        <w:rPr>
          <w:rFonts w:ascii="Times New Roman" w:hAnsi="Times New Roman" w:cs="Times New Roman"/>
        </w:rPr>
        <w:t xml:space="preserve"> and recorded as an administrative expense in Other Administrative Expenses A/C #83005-01 and disclosed in the Financial Reporting Template, Title XIX/XXI, Other Account tab.</w:t>
      </w:r>
      <w:bookmarkStart w:name="_Hlk193346284" w:id="6"/>
    </w:p>
    <w:bookmarkEnd w:id="6"/>
    <w:p w:rsidR="002D15E2" w:rsidP="007038C3" w:rsidRDefault="00661F9D" w14:paraId="5320815A" w14:textId="4DD98096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66647936"/>
          <w14:checkbox>
            <w14:checked w14:val="0"/>
            <w14:checkedState w14:val="0050" w14:font="Aptos Display"/>
            <w14:uncheckedState w14:val="2610" w14:font="MS Gothic"/>
          </w14:checkbox>
        </w:sdtPr>
        <w:sdtContent>
          <w:r w:rsidRPr="77893E17" w:rsidR="00FB577B">
            <w:rPr>
              <w:rFonts w:ascii="MS Gothic" w:hAnsi="MS Gothic" w:eastAsia="MS Gothic" w:cs="Times New Roman"/>
            </w:rPr>
            <w:t>☐</w:t>
          </w:r>
        </w:sdtContent>
      </w:sdt>
      <w:r w:rsidRPr="77893E17" w:rsidR="00B82D1E">
        <w:rPr>
          <w:rFonts w:ascii="Times New Roman" w:hAnsi="Times New Roman" w:cs="Times New Roman"/>
        </w:rPr>
        <w:t xml:space="preserve">  </w:t>
      </w:r>
      <w:r w:rsidRPr="77893E17" w:rsidR="00327E79">
        <w:rPr>
          <w:rFonts w:ascii="Times New Roman" w:hAnsi="Times New Roman" w:cs="Times New Roman"/>
        </w:rPr>
        <w:t xml:space="preserve">The categorization of claims and non-claims costs </w:t>
      </w:r>
      <w:r w:rsidRPr="77893E17" w:rsidR="0218EAB0">
        <w:rPr>
          <w:rFonts w:ascii="Times New Roman" w:hAnsi="Times New Roman" w:cs="Times New Roman"/>
        </w:rPr>
        <w:t>for the</w:t>
      </w:r>
      <w:r w:rsidRPr="77893E17" w:rsidR="00327E79">
        <w:rPr>
          <w:rFonts w:ascii="Times New Roman" w:hAnsi="Times New Roman" w:cs="Times New Roman"/>
        </w:rPr>
        <w:t xml:space="preserve"> Sub-Capitated/Block Expenses Report follows CMS’ Medical Loss Ratio guidance</w:t>
      </w:r>
      <w:r w:rsidRPr="77893E17" w:rsidR="49921691">
        <w:rPr>
          <w:rFonts w:ascii="Times New Roman" w:hAnsi="Times New Roman" w:cs="Times New Roman"/>
        </w:rPr>
        <w:t xml:space="preserve"> described in the</w:t>
      </w:r>
      <w:r w:rsidRPr="77893E17" w:rsidR="003D4256">
        <w:rPr>
          <w:rFonts w:ascii="Times New Roman" w:hAnsi="Times New Roman" w:cs="Times New Roman"/>
        </w:rPr>
        <w:t xml:space="preserve"> </w:t>
      </w:r>
      <w:hyperlink r:id="rId11">
        <w:r w:rsidRPr="77893E17" w:rsidR="003D4256">
          <w:rPr>
            <w:rStyle w:val="Hyperlink"/>
            <w:rFonts w:ascii="Times New Roman" w:hAnsi="Times New Roman" w:cs="Times New Roman"/>
          </w:rPr>
          <w:t>CMS Informational Bulletin, dated May 15, 2019, “Medical Loss Ratio (MLR) Requirements Related to Third-Party Vendors</w:t>
        </w:r>
      </w:hyperlink>
      <w:r w:rsidRPr="77893E17" w:rsidR="003D4256">
        <w:rPr>
          <w:rFonts w:ascii="Times New Roman" w:hAnsi="Times New Roman" w:cs="Times New Roman"/>
        </w:rPr>
        <w:t>”</w:t>
      </w:r>
      <w:r w:rsidRPr="77893E17" w:rsidR="00327E79">
        <w:rPr>
          <w:rFonts w:ascii="Times New Roman" w:hAnsi="Times New Roman" w:cs="Times New Roman"/>
        </w:rPr>
        <w:t>.</w:t>
      </w:r>
      <w:r w:rsidRPr="77893E17" w:rsidR="00C551AA">
        <w:rPr>
          <w:rFonts w:ascii="Times New Roman" w:hAnsi="Times New Roman" w:cs="Times New Roman"/>
        </w:rPr>
        <w:t xml:space="preserve">  </w:t>
      </w:r>
    </w:p>
    <w:p w:rsidRPr="003D4256" w:rsidR="00BA7A6F" w:rsidP="08D0B069" w:rsidRDefault="00661F9D" w14:paraId="2A1B8481" w14:textId="65AF0FB6">
      <w:pPr>
        <w:keepLines/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45819571"/>
          <w14:checkbox>
            <w14:checked w14:val="0"/>
            <w14:checkedState w14:val="0050" w14:font="Aptos Display"/>
            <w14:uncheckedState w14:val="2610" w14:font="MS Gothic"/>
          </w14:checkbox>
        </w:sdtPr>
        <w:sdtContent>
          <w:r w:rsidR="6BEC191D">
            <w:rPr>
              <w:rFonts w:ascii="MS Gothic" w:hAnsi="MS Gothic" w:eastAsia="MS Gothic" w:cs="Times New Roman"/>
            </w:rPr>
            <w:t>☐</w:t>
          </w:r>
        </w:sdtContent>
      </w:sdt>
      <w:r w:rsidRPr="003D4256" w:rsidR="58C4CEE4">
        <w:rPr>
          <w:rFonts w:ascii="Times New Roman" w:hAnsi="Times New Roman" w:cs="Times New Roman"/>
        </w:rPr>
        <w:t xml:space="preserve">  </w:t>
      </w:r>
      <w:r w:rsidRPr="003D4256" w:rsidR="7FF04EE9">
        <w:rPr>
          <w:rFonts w:ascii="Times New Roman" w:hAnsi="Times New Roman" w:cs="Times New Roman"/>
        </w:rPr>
        <w:t>Administrative functions performed by a subcontractor</w:t>
      </w:r>
      <w:r w:rsidRPr="003D4256" w:rsidR="009B54BF">
        <w:rPr>
          <w:rStyle w:val="FootnoteReference"/>
          <w:rFonts w:ascii="Times New Roman" w:hAnsi="Times New Roman" w:cs="Times New Roman"/>
        </w:rPr>
        <w:footnoteReference w:id="2"/>
      </w:r>
      <w:r w:rsidRPr="003D4256" w:rsidR="7FF04EE9">
        <w:rPr>
          <w:rFonts w:ascii="Times New Roman" w:hAnsi="Times New Roman" w:cs="Times New Roman"/>
        </w:rPr>
        <w:t xml:space="preserve"> are reported as non-claims administration expense </w:t>
      </w:r>
      <w:r w:rsidRPr="003D4256" w:rsidR="48DD4BAE">
        <w:rPr>
          <w:rFonts w:ascii="Times New Roman" w:hAnsi="Times New Roman" w:cs="Times New Roman"/>
        </w:rPr>
        <w:t xml:space="preserve">following CMS guidance [See </w:t>
      </w:r>
      <w:r w:rsidRPr="003D4256" w:rsidR="7FF04EE9">
        <w:rPr>
          <w:rFonts w:ascii="Times New Roman" w:hAnsi="Times New Roman" w:cs="Times New Roman"/>
        </w:rPr>
        <w:t>42 CFR 438.8 (e)(2)(v)(A)].</w:t>
      </w:r>
      <w:r w:rsidRPr="003D4256" w:rsidR="3FAFD571">
        <w:rPr>
          <w:rFonts w:ascii="Times New Roman" w:hAnsi="Times New Roman" w:cs="Times New Roman"/>
        </w:rPr>
        <w:t xml:space="preserve">  </w:t>
      </w:r>
      <w:r w:rsidRPr="003D4256" w:rsidR="656799B4">
        <w:rPr>
          <w:rFonts w:ascii="Times New Roman" w:hAnsi="Times New Roman" w:cs="Times New Roman"/>
        </w:rPr>
        <w:t>I</w:t>
      </w:r>
      <w:r w:rsidRPr="003D4256" w:rsidR="5710340D">
        <w:rPr>
          <w:rFonts w:ascii="Times New Roman" w:hAnsi="Times New Roman" w:cs="Times New Roman"/>
        </w:rPr>
        <w:t>n</w:t>
      </w:r>
      <w:r w:rsidRPr="003D4256" w:rsidR="5992BC5D">
        <w:rPr>
          <w:rFonts w:ascii="Times New Roman" w:hAnsi="Times New Roman" w:cs="Times New Roman"/>
        </w:rPr>
        <w:t>curred claims exclude</w:t>
      </w:r>
      <w:r w:rsidRPr="003D4256" w:rsidR="23FBD92B">
        <w:rPr>
          <w:rFonts w:ascii="Times New Roman" w:hAnsi="Times New Roman" w:cs="Times New Roman"/>
        </w:rPr>
        <w:t xml:space="preserve"> these non-claims costs</w:t>
      </w:r>
      <w:r w:rsidRPr="003D4256" w:rsidR="5992BC5D">
        <w:rPr>
          <w:rFonts w:ascii="Times New Roman" w:hAnsi="Times New Roman" w:cs="Times New Roman"/>
        </w:rPr>
        <w:t xml:space="preserve">: </w:t>
      </w:r>
    </w:p>
    <w:p w:rsidRPr="003D4256" w:rsidR="008E73E2" w:rsidP="00EE1F49" w:rsidRDefault="008E73E2" w14:paraId="40D90CA4" w14:textId="26736A58">
      <w:pPr>
        <w:pStyle w:val="ListParagraph"/>
        <w:keepLines/>
        <w:numPr>
          <w:ilvl w:val="0"/>
          <w:numId w:val="1"/>
        </w:numPr>
        <w:spacing w:after="120" w:line="240" w:lineRule="auto"/>
        <w:ind w:left="720" w:right="720"/>
        <w:contextualSpacing w:val="0"/>
        <w:jc w:val="both"/>
        <w:rPr>
          <w:rFonts w:ascii="Times New Roman" w:hAnsi="Times New Roman" w:cs="Times New Roman"/>
        </w:rPr>
      </w:pPr>
      <w:r w:rsidRPr="08D0B069">
        <w:rPr>
          <w:rFonts w:ascii="Times New Roman" w:hAnsi="Times New Roman" w:cs="Times New Roman"/>
        </w:rPr>
        <w:t>Amounts paid to third-party vendors for secondary network savings</w:t>
      </w:r>
      <w:r w:rsidR="00D83729">
        <w:rPr>
          <w:rFonts w:ascii="Times New Roman" w:hAnsi="Times New Roman" w:cs="Times New Roman"/>
        </w:rPr>
        <w:t>,</w:t>
      </w:r>
    </w:p>
    <w:p w:rsidRPr="003D4256" w:rsidR="008E73E2" w:rsidP="00EE1F49" w:rsidRDefault="008E73E2" w14:paraId="12DFB4F0" w14:textId="6C319B49">
      <w:pPr>
        <w:pStyle w:val="ListParagraph"/>
        <w:keepLines/>
        <w:numPr>
          <w:ilvl w:val="0"/>
          <w:numId w:val="1"/>
        </w:numPr>
        <w:spacing w:after="120" w:line="240" w:lineRule="auto"/>
        <w:ind w:left="720" w:right="720"/>
        <w:contextualSpacing w:val="0"/>
        <w:jc w:val="both"/>
        <w:rPr>
          <w:rFonts w:ascii="Times New Roman" w:hAnsi="Times New Roman" w:cs="Times New Roman"/>
        </w:rPr>
      </w:pPr>
      <w:r w:rsidRPr="08D0B069">
        <w:rPr>
          <w:rFonts w:ascii="Times New Roman" w:hAnsi="Times New Roman" w:cs="Times New Roman"/>
        </w:rPr>
        <w:t xml:space="preserve">Amounts paid to third-party vendors for network development, administrative fees, claims processing, and utilization </w:t>
      </w:r>
      <w:r w:rsidRPr="08D0B069" w:rsidR="00CA292C">
        <w:rPr>
          <w:rFonts w:ascii="Times New Roman" w:hAnsi="Times New Roman" w:cs="Times New Roman"/>
        </w:rPr>
        <w:t>management.</w:t>
      </w:r>
    </w:p>
    <w:p w:rsidRPr="003D4256" w:rsidR="008E73E2" w:rsidP="00EE1F49" w:rsidRDefault="008E73E2" w14:paraId="25AAF3C5" w14:textId="46B92D51">
      <w:pPr>
        <w:pStyle w:val="ListParagraph"/>
        <w:numPr>
          <w:ilvl w:val="0"/>
          <w:numId w:val="1"/>
        </w:numPr>
        <w:spacing w:after="120" w:line="240" w:lineRule="auto"/>
        <w:ind w:left="720" w:right="720"/>
        <w:contextualSpacing w:val="0"/>
        <w:jc w:val="both"/>
        <w:rPr>
          <w:rFonts w:ascii="Times New Roman" w:hAnsi="Times New Roman" w:cs="Times New Roman"/>
        </w:rPr>
      </w:pPr>
      <w:r w:rsidRPr="003D4256">
        <w:rPr>
          <w:rFonts w:ascii="Times New Roman" w:hAnsi="Times New Roman" w:cs="Times New Roman"/>
        </w:rPr>
        <w:t>Amounts paid, including amounts paid to a provider, for professional or administrative services that do not represent compensation or reimbursement for State Plan services or services meeting the definition for in-lieu of services in 42 CFR 438.3(e) and provided to an enrollee; and</w:t>
      </w:r>
    </w:p>
    <w:p w:rsidR="00BA7A6F" w:rsidP="00EE1F49" w:rsidRDefault="001C7AEC" w14:paraId="0117045A" w14:textId="2FD7FDE8">
      <w:pPr>
        <w:pStyle w:val="ListParagraph"/>
        <w:numPr>
          <w:ilvl w:val="0"/>
          <w:numId w:val="1"/>
        </w:numPr>
        <w:spacing w:after="120" w:line="240" w:lineRule="auto"/>
        <w:ind w:left="720" w:right="720"/>
        <w:contextualSpacing w:val="0"/>
        <w:jc w:val="both"/>
        <w:rPr>
          <w:rFonts w:ascii="Times New Roman" w:hAnsi="Times New Roman" w:cs="Times New Roman"/>
        </w:rPr>
      </w:pPr>
      <w:r w:rsidRPr="003D4256">
        <w:rPr>
          <w:rFonts w:ascii="Times New Roman" w:hAnsi="Times New Roman" w:cs="Times New Roman"/>
        </w:rPr>
        <w:t>F</w:t>
      </w:r>
      <w:r w:rsidRPr="003D4256" w:rsidR="00BA7A6F">
        <w:rPr>
          <w:rFonts w:ascii="Times New Roman" w:hAnsi="Times New Roman" w:cs="Times New Roman"/>
        </w:rPr>
        <w:t>ines and penalties assessed by regulatory authorities</w:t>
      </w:r>
      <w:r w:rsidRPr="003D4256" w:rsidR="004F1B1C">
        <w:rPr>
          <w:rFonts w:ascii="Times New Roman" w:hAnsi="Times New Roman" w:cs="Times New Roman"/>
        </w:rPr>
        <w:t>.</w:t>
      </w:r>
    </w:p>
    <w:p w:rsidR="00417246" w:rsidP="00417246" w:rsidRDefault="00417246" w14:paraId="180E4D87" w14:textId="77777777">
      <w:pPr>
        <w:spacing w:after="60" w:line="240" w:lineRule="auto"/>
        <w:ind w:right="720"/>
        <w:jc w:val="both"/>
        <w:rPr>
          <w:rFonts w:ascii="Times New Roman" w:hAnsi="Times New Roman" w:cs="Times New Roman"/>
        </w:rPr>
      </w:pPr>
    </w:p>
    <w:p w:rsidR="00A91621" w:rsidP="00417246" w:rsidRDefault="00A91621" w14:paraId="369848DD" w14:textId="77777777">
      <w:pPr>
        <w:spacing w:after="60" w:line="240" w:lineRule="auto"/>
        <w:ind w:right="720"/>
        <w:jc w:val="both"/>
        <w:rPr>
          <w:rFonts w:ascii="Times New Roman" w:hAnsi="Times New Roman" w:cs="Times New Roman"/>
        </w:rPr>
      </w:pPr>
    </w:p>
    <w:p w:rsidR="00A91621" w:rsidP="00417246" w:rsidRDefault="00A91621" w14:paraId="525D0D19" w14:textId="77777777">
      <w:pPr>
        <w:spacing w:after="60" w:line="240" w:lineRule="auto"/>
        <w:ind w:right="720"/>
        <w:jc w:val="both"/>
        <w:rPr>
          <w:rFonts w:ascii="Times New Roman" w:hAnsi="Times New Roman" w:cs="Times New Roman"/>
        </w:rPr>
      </w:pPr>
    </w:p>
    <w:p w:rsidRPr="00223759" w:rsidR="00A91621" w:rsidP="00417246" w:rsidRDefault="00A91621" w14:paraId="26A9F081" w14:textId="77777777">
      <w:pPr>
        <w:spacing w:after="60" w:line="240" w:lineRule="auto"/>
        <w:ind w:right="720"/>
        <w:jc w:val="both"/>
        <w:rPr>
          <w:rFonts w:ascii="Times New Roman" w:hAnsi="Times New Roman" w:cs="Times New Roman"/>
        </w:rPr>
      </w:pPr>
    </w:p>
    <w:p w:rsidRPr="00223759" w:rsidR="00417246" w:rsidP="77893E17" w:rsidRDefault="00417246" w14:paraId="77C0FEF8" w14:textId="77777777">
      <w:pPr>
        <w:pBdr>
          <w:top w:val="single" w:color="000000" w:sz="4" w:space="1"/>
        </w:pBdr>
        <w:spacing w:after="60" w:line="240" w:lineRule="auto"/>
        <w:ind w:right="5490"/>
        <w:jc w:val="both"/>
        <w:rPr>
          <w:rFonts w:ascii="Times New Roman" w:hAnsi="Times New Roman" w:cs="Times New Roman"/>
        </w:rPr>
      </w:pPr>
      <w:r w:rsidRPr="77893E17">
        <w:rPr>
          <w:rFonts w:ascii="Times New Roman" w:hAnsi="Times New Roman" w:cs="Times New Roman"/>
        </w:rPr>
        <w:t>Auditor Signature</w:t>
      </w:r>
    </w:p>
    <w:p w:rsidR="00D1322D" w:rsidP="00FF1E0C" w:rsidRDefault="00D1322D" w14:paraId="51D79E64" w14:textId="77777777">
      <w:pPr>
        <w:spacing w:after="60" w:line="240" w:lineRule="auto"/>
        <w:ind w:right="720"/>
        <w:jc w:val="both"/>
        <w:rPr>
          <w:rFonts w:ascii="Times New Roman" w:hAnsi="Times New Roman" w:cs="Times New Roman"/>
        </w:rPr>
      </w:pPr>
    </w:p>
    <w:p w:rsidR="00417246" w:rsidP="00FF1E0C" w:rsidRDefault="00417246" w14:paraId="21F5C982" w14:textId="77777777">
      <w:pPr>
        <w:spacing w:after="60" w:line="240" w:lineRule="auto"/>
        <w:ind w:right="720"/>
        <w:jc w:val="both"/>
        <w:rPr>
          <w:rFonts w:ascii="Times New Roman" w:hAnsi="Times New Roman" w:cs="Times New Roman"/>
        </w:rPr>
      </w:pPr>
    </w:p>
    <w:p w:rsidR="00417246" w:rsidP="00FF1E0C" w:rsidRDefault="00417246" w14:paraId="035FC535" w14:textId="77777777">
      <w:pPr>
        <w:spacing w:after="60" w:line="240" w:lineRule="auto"/>
        <w:ind w:right="720"/>
        <w:jc w:val="both"/>
        <w:rPr>
          <w:rFonts w:ascii="Times New Roman" w:hAnsi="Times New Roman" w:cs="Times New Roman"/>
        </w:rPr>
      </w:pPr>
    </w:p>
    <w:p w:rsidR="00D1322D" w:rsidP="00210370" w:rsidRDefault="00D1322D" w14:paraId="6087181C" w14:textId="42BABD63">
      <w:pPr>
        <w:pBdr>
          <w:top w:val="single" w:color="auto" w:sz="4" w:space="1"/>
          <w:bottom w:val="single" w:color="auto" w:sz="4" w:space="1"/>
        </w:pBdr>
        <w:spacing w:after="60" w:line="240" w:lineRule="auto"/>
        <w:ind w:right="5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Auditor Name Printed</w:t>
      </w:r>
    </w:p>
    <w:p w:rsidR="00D1322D" w:rsidP="00210370" w:rsidRDefault="00D1322D" w14:paraId="53F98EC0" w14:textId="77777777">
      <w:pPr>
        <w:pBdr>
          <w:top w:val="single" w:color="auto" w:sz="4" w:space="1"/>
          <w:bottom w:val="single" w:color="auto" w:sz="4" w:space="1"/>
        </w:pBdr>
        <w:spacing w:after="60" w:line="240" w:lineRule="auto"/>
        <w:ind w:right="5490"/>
        <w:jc w:val="both"/>
        <w:rPr>
          <w:rFonts w:ascii="Times New Roman" w:hAnsi="Times New Roman" w:cs="Times New Roman"/>
        </w:rPr>
      </w:pPr>
    </w:p>
    <w:p w:rsidR="00D1322D" w:rsidP="00210370" w:rsidRDefault="00D1322D" w14:paraId="2ADC8CDC" w14:textId="77777777">
      <w:pPr>
        <w:pBdr>
          <w:top w:val="single" w:color="auto" w:sz="4" w:space="1"/>
          <w:bottom w:val="single" w:color="auto" w:sz="4" w:space="1"/>
        </w:pBdr>
        <w:spacing w:after="60" w:line="240" w:lineRule="auto"/>
        <w:ind w:right="5490"/>
        <w:jc w:val="both"/>
        <w:rPr>
          <w:rFonts w:ascii="Times New Roman" w:hAnsi="Times New Roman" w:cs="Times New Roman"/>
        </w:rPr>
      </w:pPr>
    </w:p>
    <w:p w:rsidR="00D1322D" w:rsidP="00210370" w:rsidRDefault="00D1322D" w14:paraId="44401531" w14:textId="77777777">
      <w:pPr>
        <w:pBdr>
          <w:top w:val="single" w:color="auto" w:sz="4" w:space="1"/>
          <w:bottom w:val="single" w:color="auto" w:sz="4" w:space="1"/>
        </w:pBdr>
        <w:spacing w:after="60" w:line="240" w:lineRule="auto"/>
        <w:ind w:right="5490"/>
        <w:jc w:val="both"/>
        <w:rPr>
          <w:rFonts w:ascii="Times New Roman" w:hAnsi="Times New Roman" w:cs="Times New Roman"/>
        </w:rPr>
      </w:pPr>
    </w:p>
    <w:p w:rsidRPr="00FF1E0C" w:rsidR="00D1322D" w:rsidP="00210370" w:rsidRDefault="00D1322D" w14:paraId="43E61120" w14:textId="4BE2D212">
      <w:pPr>
        <w:spacing w:after="60" w:line="240" w:lineRule="auto"/>
        <w:ind w:right="5490"/>
        <w:jc w:val="both"/>
        <w:rPr>
          <w:rFonts w:ascii="Times New Roman" w:hAnsi="Times New Roman" w:cs="Times New Roman"/>
        </w:rPr>
      </w:pPr>
      <w:r w:rsidRPr="77893E17">
        <w:rPr>
          <w:rFonts w:ascii="Times New Roman" w:hAnsi="Times New Roman" w:cs="Times New Roman"/>
        </w:rPr>
        <w:t>Date Signed</w:t>
      </w:r>
    </w:p>
    <w:sectPr w:rsidRPr="00FF1E0C" w:rsidR="00D1322D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5AA0" w:rsidP="009B54BF" w:rsidRDefault="002A5AA0" w14:paraId="622D2A87" w14:textId="77777777">
      <w:pPr>
        <w:spacing w:after="0" w:line="240" w:lineRule="auto"/>
      </w:pPr>
      <w:r>
        <w:separator/>
      </w:r>
    </w:p>
  </w:endnote>
  <w:endnote w:type="continuationSeparator" w:id="0">
    <w:p w:rsidR="002A5AA0" w:rsidP="009B54BF" w:rsidRDefault="002A5AA0" w14:paraId="25C209D3" w14:textId="77777777">
      <w:pPr>
        <w:spacing w:after="0" w:line="240" w:lineRule="auto"/>
      </w:pPr>
      <w:r>
        <w:continuationSeparator/>
      </w:r>
    </w:p>
  </w:endnote>
  <w:endnote w:type="continuationNotice" w:id="1">
    <w:p w:rsidR="002A5AA0" w:rsidRDefault="002A5AA0" w14:paraId="2C0D96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716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621" w:rsidRDefault="00A91621" w14:paraId="65BAB220" w14:textId="47482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621" w:rsidRDefault="00A91621" w14:paraId="227BA3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5AA0" w:rsidP="009B54BF" w:rsidRDefault="002A5AA0" w14:paraId="7F6A7479" w14:textId="77777777">
      <w:pPr>
        <w:spacing w:after="0" w:line="240" w:lineRule="auto"/>
      </w:pPr>
      <w:r>
        <w:separator/>
      </w:r>
    </w:p>
  </w:footnote>
  <w:footnote w:type="continuationSeparator" w:id="0">
    <w:p w:rsidR="002A5AA0" w:rsidP="009B54BF" w:rsidRDefault="002A5AA0" w14:paraId="43931A09" w14:textId="77777777">
      <w:pPr>
        <w:spacing w:after="0" w:line="240" w:lineRule="auto"/>
      </w:pPr>
      <w:r>
        <w:continuationSeparator/>
      </w:r>
    </w:p>
  </w:footnote>
  <w:footnote w:type="continuationNotice" w:id="1">
    <w:p w:rsidR="002A5AA0" w:rsidRDefault="002A5AA0" w14:paraId="1B90BCEC" w14:textId="77777777">
      <w:pPr>
        <w:spacing w:after="0" w:line="240" w:lineRule="auto"/>
      </w:pPr>
    </w:p>
  </w:footnote>
  <w:footnote w:id="2">
    <w:p w:rsidRPr="009B54BF" w:rsidR="009B54BF" w:rsidP="00FA1887" w:rsidRDefault="009B54BF" w14:paraId="62356BD7" w14:textId="27B17590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 w:rsidRPr="009B54BF" w:rsidR="6CB1D7A4">
        <w:rPr>
          <w:sz w:val="18"/>
          <w:szCs w:val="18"/>
        </w:rPr>
        <w:t xml:space="preserve">An exception to this general approach applies when a subcontractor, through its own employees, provides Medicaid covered services directly to enrollees. In this circumstance, the entire portion of the amount the Contractor pays to the third-party vendor that is attributable to the third-party vendor’s direct provision of Medicaid covered services should be included in incurred claims, even if such amount includes reimbursement for the third-party vendor’s own administrative costs related to the direct provision of Medicaid covered services.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8D0B069" w:rsidTr="77893E17" w14:paraId="03D2F17E" w14:textId="77777777">
      <w:trPr>
        <w:trHeight w:val="300"/>
      </w:trPr>
      <w:tc>
        <w:tcPr>
          <w:tcW w:w="3120" w:type="dxa"/>
        </w:tcPr>
        <w:p w:rsidR="08D0B069" w:rsidP="77893E17" w:rsidRDefault="08D0B069" w14:paraId="4D9F48A0" w14:textId="6BD2F44B">
          <w:pPr>
            <w:pStyle w:val="Header"/>
            <w:ind w:left="-115"/>
          </w:pPr>
        </w:p>
      </w:tc>
      <w:tc>
        <w:tcPr>
          <w:tcW w:w="3120" w:type="dxa"/>
        </w:tcPr>
        <w:p w:rsidR="08D0B069" w:rsidP="77893E17" w:rsidRDefault="08D0B069" w14:paraId="1D6B190A" w14:textId="42E4A25B">
          <w:pPr>
            <w:pStyle w:val="Header"/>
            <w:jc w:val="center"/>
          </w:pPr>
        </w:p>
      </w:tc>
      <w:tc>
        <w:tcPr>
          <w:tcW w:w="3120" w:type="dxa"/>
        </w:tcPr>
        <w:p w:rsidR="08D0B069" w:rsidP="77893E17" w:rsidRDefault="08D0B069" w14:paraId="1E9D94DA" w14:textId="33BE6D3C">
          <w:pPr>
            <w:pStyle w:val="Header"/>
            <w:ind w:right="-115"/>
            <w:jc w:val="right"/>
          </w:pPr>
        </w:p>
      </w:tc>
    </w:tr>
  </w:tbl>
  <w:p w:rsidR="08D0B069" w:rsidP="77893E17" w:rsidRDefault="08D0B069" w14:paraId="3EA32B24" w14:textId="365C39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ooDDzBf" int2:invalidationBookmarkName="" int2:hashCode="RoHRJMxsS3O6q/" int2:id="WzXCYlz4">
      <int2:state int2:value="Rejected" int2:type="AugLoop_Text_Critique"/>
    </int2:bookmark>
    <int2:bookmark int2:bookmarkName="_Int_qpIHXKBl" int2:invalidationBookmarkName="" int2:hashCode="RoHRJMxsS3O6q/" int2:id="YgJsPRR4">
      <int2:state int2:value="Rejected" int2:type="AugLoop_Text_Critique"/>
    </int2:bookmark>
    <int2:bookmark int2:bookmarkName="_Int_0qN8ipta" int2:invalidationBookmarkName="" int2:hashCode="RoHRJMxsS3O6q/" int2:id="qtBIBraQ">
      <int2:state int2:value="Rejected" int2:type="AugLoop_Text_Critique"/>
    </int2:bookmark>
    <int2:bookmark int2:bookmarkName="_Int_g0FbddCS" int2:invalidationBookmarkName="" int2:hashCode="Q3Sq7iR/sjfObJ" int2:id="rpHTU07x">
      <int2:state int2:value="Rejected" int2:type="AugLoop_Text_Critique"/>
    </int2:bookmark>
    <int2:bookmark int2:bookmarkName="_Int_PL1442WP" int2:invalidationBookmarkName="" int2:hashCode="RoHRJMxsS3O6q/" int2:id="s8lYTUl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43D25"/>
    <w:multiLevelType w:val="hybridMultilevel"/>
    <w:tmpl w:val="14AC6B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406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trackRevisions w:val="false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57"/>
    <w:rsid w:val="0005177B"/>
    <w:rsid w:val="000943B6"/>
    <w:rsid w:val="000A33FE"/>
    <w:rsid w:val="00110105"/>
    <w:rsid w:val="00146354"/>
    <w:rsid w:val="001513BD"/>
    <w:rsid w:val="001536CB"/>
    <w:rsid w:val="00160B5A"/>
    <w:rsid w:val="001679D6"/>
    <w:rsid w:val="001C7AEC"/>
    <w:rsid w:val="001E796C"/>
    <w:rsid w:val="00201FDF"/>
    <w:rsid w:val="00210370"/>
    <w:rsid w:val="002165F3"/>
    <w:rsid w:val="00290091"/>
    <w:rsid w:val="00296781"/>
    <w:rsid w:val="002A5AA0"/>
    <w:rsid w:val="002B0BB5"/>
    <w:rsid w:val="002B4385"/>
    <w:rsid w:val="002B5031"/>
    <w:rsid w:val="002D1445"/>
    <w:rsid w:val="002D15E2"/>
    <w:rsid w:val="002E6BCB"/>
    <w:rsid w:val="002E74C5"/>
    <w:rsid w:val="00326672"/>
    <w:rsid w:val="00327E79"/>
    <w:rsid w:val="003315EA"/>
    <w:rsid w:val="0034731E"/>
    <w:rsid w:val="00350B90"/>
    <w:rsid w:val="003940DB"/>
    <w:rsid w:val="003A7921"/>
    <w:rsid w:val="003D4256"/>
    <w:rsid w:val="00417246"/>
    <w:rsid w:val="00423AA1"/>
    <w:rsid w:val="00445452"/>
    <w:rsid w:val="004B32DB"/>
    <w:rsid w:val="004F1B1C"/>
    <w:rsid w:val="004F71F3"/>
    <w:rsid w:val="005158D0"/>
    <w:rsid w:val="00523A95"/>
    <w:rsid w:val="0052533D"/>
    <w:rsid w:val="0061354F"/>
    <w:rsid w:val="00636561"/>
    <w:rsid w:val="00661F9D"/>
    <w:rsid w:val="006646E8"/>
    <w:rsid w:val="00666379"/>
    <w:rsid w:val="0069564E"/>
    <w:rsid w:val="006B00A7"/>
    <w:rsid w:val="006D5048"/>
    <w:rsid w:val="006D6D44"/>
    <w:rsid w:val="007038C3"/>
    <w:rsid w:val="00720044"/>
    <w:rsid w:val="00723EE5"/>
    <w:rsid w:val="00727081"/>
    <w:rsid w:val="007344E9"/>
    <w:rsid w:val="00762893"/>
    <w:rsid w:val="00767B90"/>
    <w:rsid w:val="00771BA0"/>
    <w:rsid w:val="00774436"/>
    <w:rsid w:val="007A5396"/>
    <w:rsid w:val="007A602C"/>
    <w:rsid w:val="007B1B07"/>
    <w:rsid w:val="007C23B1"/>
    <w:rsid w:val="007E7555"/>
    <w:rsid w:val="00810E57"/>
    <w:rsid w:val="008212A2"/>
    <w:rsid w:val="00825E30"/>
    <w:rsid w:val="00826C99"/>
    <w:rsid w:val="00840595"/>
    <w:rsid w:val="008632AC"/>
    <w:rsid w:val="008C5381"/>
    <w:rsid w:val="008E5ED8"/>
    <w:rsid w:val="008E73E2"/>
    <w:rsid w:val="00925B80"/>
    <w:rsid w:val="009336CD"/>
    <w:rsid w:val="009544DF"/>
    <w:rsid w:val="009907C4"/>
    <w:rsid w:val="00991738"/>
    <w:rsid w:val="009A5113"/>
    <w:rsid w:val="009B54BF"/>
    <w:rsid w:val="00A150AE"/>
    <w:rsid w:val="00A63F4F"/>
    <w:rsid w:val="00A66B31"/>
    <w:rsid w:val="00A91621"/>
    <w:rsid w:val="00B1394B"/>
    <w:rsid w:val="00B22FD3"/>
    <w:rsid w:val="00B31698"/>
    <w:rsid w:val="00B37901"/>
    <w:rsid w:val="00B41E9A"/>
    <w:rsid w:val="00B56DE4"/>
    <w:rsid w:val="00B82D1E"/>
    <w:rsid w:val="00BA7A6F"/>
    <w:rsid w:val="00BE2AB4"/>
    <w:rsid w:val="00BE48AE"/>
    <w:rsid w:val="00BF3092"/>
    <w:rsid w:val="00BF5597"/>
    <w:rsid w:val="00C22345"/>
    <w:rsid w:val="00C41C90"/>
    <w:rsid w:val="00C44FDB"/>
    <w:rsid w:val="00C5105A"/>
    <w:rsid w:val="00C551AA"/>
    <w:rsid w:val="00C805D1"/>
    <w:rsid w:val="00CA292C"/>
    <w:rsid w:val="00CA760F"/>
    <w:rsid w:val="00D1322D"/>
    <w:rsid w:val="00D22CD4"/>
    <w:rsid w:val="00D234EA"/>
    <w:rsid w:val="00D243CF"/>
    <w:rsid w:val="00D465D5"/>
    <w:rsid w:val="00D6233F"/>
    <w:rsid w:val="00D62A35"/>
    <w:rsid w:val="00D764C9"/>
    <w:rsid w:val="00D83729"/>
    <w:rsid w:val="00DA0737"/>
    <w:rsid w:val="00DA6B9E"/>
    <w:rsid w:val="00DB5EF6"/>
    <w:rsid w:val="00DC3549"/>
    <w:rsid w:val="00DF641D"/>
    <w:rsid w:val="00E36DCF"/>
    <w:rsid w:val="00E939F1"/>
    <w:rsid w:val="00ED0B6B"/>
    <w:rsid w:val="00ED2EED"/>
    <w:rsid w:val="00ED7183"/>
    <w:rsid w:val="00EE1F49"/>
    <w:rsid w:val="00EF3D0B"/>
    <w:rsid w:val="00EF61C1"/>
    <w:rsid w:val="00F3529F"/>
    <w:rsid w:val="00F6722C"/>
    <w:rsid w:val="00F936DA"/>
    <w:rsid w:val="00F942A4"/>
    <w:rsid w:val="00FA1887"/>
    <w:rsid w:val="00FB01D2"/>
    <w:rsid w:val="00FB577B"/>
    <w:rsid w:val="00FF1E0C"/>
    <w:rsid w:val="0218EAB0"/>
    <w:rsid w:val="028BE63C"/>
    <w:rsid w:val="0433D99D"/>
    <w:rsid w:val="04FB1CDC"/>
    <w:rsid w:val="051993B4"/>
    <w:rsid w:val="054BC9AC"/>
    <w:rsid w:val="05670636"/>
    <w:rsid w:val="05A70B30"/>
    <w:rsid w:val="060FD992"/>
    <w:rsid w:val="0610EA68"/>
    <w:rsid w:val="0647E78A"/>
    <w:rsid w:val="07D96D88"/>
    <w:rsid w:val="08D0B069"/>
    <w:rsid w:val="0C080374"/>
    <w:rsid w:val="0DD81283"/>
    <w:rsid w:val="0E1EAA50"/>
    <w:rsid w:val="0E9EC6D8"/>
    <w:rsid w:val="10916777"/>
    <w:rsid w:val="1098BDAE"/>
    <w:rsid w:val="11164D32"/>
    <w:rsid w:val="13E0F0F4"/>
    <w:rsid w:val="145E0F58"/>
    <w:rsid w:val="14EF3502"/>
    <w:rsid w:val="1568E452"/>
    <w:rsid w:val="164106F7"/>
    <w:rsid w:val="16652222"/>
    <w:rsid w:val="16663A68"/>
    <w:rsid w:val="1B7E71FE"/>
    <w:rsid w:val="1C9DDA82"/>
    <w:rsid w:val="1D2CA376"/>
    <w:rsid w:val="1D4D8A94"/>
    <w:rsid w:val="1EC9B599"/>
    <w:rsid w:val="2078175A"/>
    <w:rsid w:val="21058F82"/>
    <w:rsid w:val="213DC27A"/>
    <w:rsid w:val="219E1106"/>
    <w:rsid w:val="23472F15"/>
    <w:rsid w:val="236540E2"/>
    <w:rsid w:val="23C0B636"/>
    <w:rsid w:val="23FBD92B"/>
    <w:rsid w:val="254D5C31"/>
    <w:rsid w:val="2891A8E4"/>
    <w:rsid w:val="2A483B21"/>
    <w:rsid w:val="2B0D2D2C"/>
    <w:rsid w:val="2B9BD1FE"/>
    <w:rsid w:val="2D9993D6"/>
    <w:rsid w:val="2E4D01F8"/>
    <w:rsid w:val="2FCE1063"/>
    <w:rsid w:val="301B42BA"/>
    <w:rsid w:val="303E61E4"/>
    <w:rsid w:val="304E494A"/>
    <w:rsid w:val="3098A4ED"/>
    <w:rsid w:val="317DFF80"/>
    <w:rsid w:val="31B7A331"/>
    <w:rsid w:val="35F2AF5B"/>
    <w:rsid w:val="37A28A97"/>
    <w:rsid w:val="3908F5D0"/>
    <w:rsid w:val="39D66720"/>
    <w:rsid w:val="39DF3785"/>
    <w:rsid w:val="3A4CDA36"/>
    <w:rsid w:val="3FAFD571"/>
    <w:rsid w:val="4162D24B"/>
    <w:rsid w:val="42659152"/>
    <w:rsid w:val="42BB9A95"/>
    <w:rsid w:val="436D9F39"/>
    <w:rsid w:val="43A4131A"/>
    <w:rsid w:val="46552684"/>
    <w:rsid w:val="46996772"/>
    <w:rsid w:val="46C48081"/>
    <w:rsid w:val="48DD4BAE"/>
    <w:rsid w:val="49921691"/>
    <w:rsid w:val="4A4A36F4"/>
    <w:rsid w:val="4B3D8EE8"/>
    <w:rsid w:val="4B40C0F2"/>
    <w:rsid w:val="4BCD8D48"/>
    <w:rsid w:val="4C0BDCFC"/>
    <w:rsid w:val="4DE3BFB4"/>
    <w:rsid w:val="4FBC20B8"/>
    <w:rsid w:val="50CB3654"/>
    <w:rsid w:val="53B39CFF"/>
    <w:rsid w:val="55A89794"/>
    <w:rsid w:val="566F936F"/>
    <w:rsid w:val="5710340D"/>
    <w:rsid w:val="58A7F7E2"/>
    <w:rsid w:val="58C4CEE4"/>
    <w:rsid w:val="5992BC5D"/>
    <w:rsid w:val="5AB6FD26"/>
    <w:rsid w:val="5B2DB5BC"/>
    <w:rsid w:val="5B30D517"/>
    <w:rsid w:val="5BDFF04D"/>
    <w:rsid w:val="5BFD3DB5"/>
    <w:rsid w:val="5D16E883"/>
    <w:rsid w:val="5D8E65EB"/>
    <w:rsid w:val="5DD921CC"/>
    <w:rsid w:val="5EBA15E0"/>
    <w:rsid w:val="5ED57253"/>
    <w:rsid w:val="620B0BFA"/>
    <w:rsid w:val="62573F0C"/>
    <w:rsid w:val="63B252AB"/>
    <w:rsid w:val="6457610D"/>
    <w:rsid w:val="6496D1BA"/>
    <w:rsid w:val="64D9C92E"/>
    <w:rsid w:val="656799B4"/>
    <w:rsid w:val="66BD94A0"/>
    <w:rsid w:val="676F4E0C"/>
    <w:rsid w:val="68D627DD"/>
    <w:rsid w:val="68ED49CB"/>
    <w:rsid w:val="6BC959F6"/>
    <w:rsid w:val="6BEC191D"/>
    <w:rsid w:val="6C392DD8"/>
    <w:rsid w:val="6CB1D7A4"/>
    <w:rsid w:val="6D285D7A"/>
    <w:rsid w:val="6D304FDD"/>
    <w:rsid w:val="6E222841"/>
    <w:rsid w:val="6E6E30A3"/>
    <w:rsid w:val="71A2F2C0"/>
    <w:rsid w:val="71CAC6A3"/>
    <w:rsid w:val="73CB9860"/>
    <w:rsid w:val="74311D18"/>
    <w:rsid w:val="75A69933"/>
    <w:rsid w:val="75FD1CD3"/>
    <w:rsid w:val="7654A9C7"/>
    <w:rsid w:val="77893E17"/>
    <w:rsid w:val="797CEE14"/>
    <w:rsid w:val="79A60578"/>
    <w:rsid w:val="7D044860"/>
    <w:rsid w:val="7F350FCA"/>
    <w:rsid w:val="7FF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9602"/>
  <w15:chartTrackingRefBased/>
  <w15:docId w15:val="{15CFD269-BD2C-4927-ACF5-B33B6A3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3C0B636"/>
  </w:style>
  <w:style w:type="paragraph" w:styleId="Heading1">
    <w:name w:val="heading 1"/>
    <w:basedOn w:val="Normal"/>
    <w:next w:val="Normal"/>
    <w:link w:val="Heading1Char"/>
    <w:uiPriority w:val="9"/>
    <w:qFormat/>
    <w:rsid w:val="00810E5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E5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23C0B636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23C0B636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10E5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10E5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0E5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10E5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10E5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10E5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10E5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10E57"/>
    <w:rPr>
      <w:rFonts w:eastAsiaTheme="majorEastAsia" w:cstheme="majorBidi"/>
      <w:i/>
      <w:iCs/>
      <w:color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10E57"/>
    <w:rPr>
      <w:rFonts w:eastAsiaTheme="majorEastAsia" w:cstheme="majorBidi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23C0B636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0E57"/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3C0B636"/>
    <w:rPr>
      <w:rFonts w:eastAsiaTheme="majorEastAsia" w:cstheme="majorBidi"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10E57"/>
    <w:rPr>
      <w:rFonts w:eastAsiaTheme="majorEastAsia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E5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10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E5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0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E57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1E796C"/>
  </w:style>
  <w:style w:type="character" w:styleId="eop" w:customStyle="1">
    <w:name w:val="eop"/>
    <w:basedOn w:val="DefaultParagraphFont"/>
    <w:rsid w:val="001E796C"/>
  </w:style>
  <w:style w:type="paragraph" w:styleId="FootnoteText">
    <w:name w:val="footnote text"/>
    <w:basedOn w:val="Normal"/>
    <w:link w:val="FootnoteTextChar"/>
    <w:uiPriority w:val="99"/>
    <w:semiHidden/>
    <w:unhideWhenUsed/>
    <w:rsid w:val="009B54BF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B54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54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42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2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28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503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6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1621"/>
  </w:style>
  <w:style w:type="paragraph" w:styleId="Footer">
    <w:name w:val="footer"/>
    <w:basedOn w:val="Normal"/>
    <w:link w:val="FooterChar"/>
    <w:uiPriority w:val="99"/>
    <w:unhideWhenUsed/>
    <w:rsid w:val="00A916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162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edicaid.gov/federal-policy-guidance/downloads/cib051519.pd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C4820-EE5C-44CF-9C0C-02C52EB73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C1FB8-8027-412B-B030-058AC2896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7FBDE-0512-40DF-888C-613DE9D8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908FF-25B5-4150-870A-997DD54FC860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Cathy</dc:creator>
  <cp:keywords/>
  <dc:description/>
  <cp:lastModifiedBy>Young, Cathy</cp:lastModifiedBy>
  <cp:revision>24</cp:revision>
  <dcterms:created xsi:type="dcterms:W3CDTF">2025-03-21T16:34:00Z</dcterms:created>
  <dcterms:modified xsi:type="dcterms:W3CDTF">2025-04-04T00:00:52Z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