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ED31" w14:textId="77777777" w:rsidR="0008648C" w:rsidRPr="007856B5" w:rsidRDefault="0008648C" w:rsidP="002736B0">
      <w:pPr>
        <w:spacing w:after="0" w:line="240" w:lineRule="auto"/>
        <w:jc w:val="both"/>
        <w:rPr>
          <w:rFonts w:cstheme="minorHAnsi"/>
          <w:b/>
        </w:rPr>
      </w:pPr>
    </w:p>
    <w:p w14:paraId="79014791" w14:textId="674FA1C6" w:rsidR="00924132" w:rsidRPr="007856B5" w:rsidRDefault="0034385A" w:rsidP="002736B0">
      <w:pPr>
        <w:tabs>
          <w:tab w:val="center" w:pos="6480"/>
        </w:tabs>
        <w:spacing w:after="0" w:line="240" w:lineRule="auto"/>
        <w:jc w:val="both"/>
        <w:rPr>
          <w:rFonts w:cstheme="minorHAnsi"/>
          <w:b/>
        </w:rPr>
      </w:pPr>
      <w:r w:rsidRPr="007856B5">
        <w:rPr>
          <w:rFonts w:cstheme="minorHAnsi"/>
          <w:b/>
        </w:rPr>
        <w:t>EXHIBIT</w:t>
      </w:r>
      <w:r w:rsidR="00F03ED7" w:rsidRPr="007856B5">
        <w:rPr>
          <w:rFonts w:cstheme="minorHAnsi"/>
          <w:b/>
        </w:rPr>
        <w:t xml:space="preserve"> </w:t>
      </w:r>
      <w:r w:rsidR="00BD7429" w:rsidRPr="007856B5">
        <w:rPr>
          <w:rFonts w:cstheme="minorHAnsi"/>
          <w:b/>
        </w:rPr>
        <w:t>G</w:t>
      </w:r>
      <w:r w:rsidR="006D1FF3" w:rsidRPr="007856B5">
        <w:rPr>
          <w:rFonts w:cstheme="minorHAnsi"/>
          <w:b/>
        </w:rPr>
        <w:t xml:space="preserve">: </w:t>
      </w:r>
      <w:r w:rsidR="008832DC" w:rsidRPr="007856B5">
        <w:rPr>
          <w:rFonts w:cstheme="minorHAnsi"/>
          <w:b/>
        </w:rPr>
        <w:t>TRANSITION REQUIREMENTS</w:t>
      </w:r>
      <w:r w:rsidR="00BB778C" w:rsidRPr="007856B5">
        <w:rPr>
          <w:rFonts w:cstheme="minorHAnsi"/>
          <w:b/>
        </w:rPr>
        <w:tab/>
      </w:r>
    </w:p>
    <w:p w14:paraId="19165B20" w14:textId="77777777" w:rsidR="0008648C" w:rsidRPr="007856B5" w:rsidRDefault="0008648C" w:rsidP="002736B0">
      <w:pPr>
        <w:spacing w:after="0" w:line="240" w:lineRule="auto"/>
        <w:jc w:val="both"/>
        <w:rPr>
          <w:rFonts w:cstheme="minorHAnsi"/>
          <w:b/>
        </w:rPr>
      </w:pPr>
    </w:p>
    <w:p w14:paraId="1038E8AF" w14:textId="727A0C19" w:rsidR="002736B0" w:rsidRPr="007856B5" w:rsidRDefault="002736B0" w:rsidP="002736B0">
      <w:pPr>
        <w:spacing w:after="0" w:line="240" w:lineRule="auto"/>
        <w:jc w:val="both"/>
        <w:rPr>
          <w:rFonts w:cstheme="minorHAnsi"/>
        </w:rPr>
      </w:pPr>
      <w:r w:rsidRPr="007856B5">
        <w:rPr>
          <w:rFonts w:cstheme="minorHAnsi"/>
        </w:rPr>
        <w:t>The receiving Contractor is responsible for allowing transitioning members</w:t>
      </w:r>
      <w:r w:rsidR="007A31DF">
        <w:rPr>
          <w:rFonts w:cstheme="minorHAnsi"/>
        </w:rPr>
        <w:t>,</w:t>
      </w:r>
      <w:r w:rsidRPr="007856B5">
        <w:rPr>
          <w:rFonts w:cstheme="minorHAnsi"/>
        </w:rPr>
        <w:t xml:space="preserve"> for October 1, </w:t>
      </w:r>
      <w:r w:rsidR="00AA27C9" w:rsidRPr="007856B5">
        <w:rPr>
          <w:rFonts w:cstheme="minorHAnsi"/>
        </w:rPr>
        <w:t xml:space="preserve">2024 </w:t>
      </w:r>
      <w:r w:rsidRPr="007856B5">
        <w:rPr>
          <w:rFonts w:cstheme="minorHAnsi"/>
        </w:rPr>
        <w:t>enrollment</w:t>
      </w:r>
      <w:r w:rsidR="007A31DF">
        <w:rPr>
          <w:rFonts w:cstheme="minorHAnsi"/>
        </w:rPr>
        <w:t>,</w:t>
      </w:r>
      <w:r w:rsidRPr="007856B5">
        <w:rPr>
          <w:rFonts w:cstheme="minorHAnsi"/>
        </w:rPr>
        <w:t xml:space="preserve"> access to providers as </w:t>
      </w:r>
      <w:r w:rsidR="004E1492" w:rsidRPr="007856B5">
        <w:rPr>
          <w:rFonts w:cstheme="minorHAnsi"/>
        </w:rPr>
        <w:t>specified</w:t>
      </w:r>
      <w:r w:rsidRPr="007856B5">
        <w:rPr>
          <w:rFonts w:cstheme="minorHAnsi"/>
        </w:rPr>
        <w:t xml:space="preserve"> </w:t>
      </w:r>
      <w:r w:rsidR="0006753D" w:rsidRPr="00D277A4">
        <w:rPr>
          <w:rFonts w:cstheme="minorHAnsi"/>
          <w:b/>
          <w:bCs/>
        </w:rPr>
        <w:t xml:space="preserve">in the table </w:t>
      </w:r>
      <w:r w:rsidRPr="00D277A4">
        <w:rPr>
          <w:rFonts w:cstheme="minorHAnsi"/>
          <w:b/>
          <w:bCs/>
        </w:rPr>
        <w:t>below.</w:t>
      </w:r>
      <w:r w:rsidRPr="007856B5">
        <w:rPr>
          <w:rFonts w:cstheme="minorHAnsi"/>
        </w:rPr>
        <w:t xml:space="preserve"> </w:t>
      </w:r>
      <w:r w:rsidR="001C2F18">
        <w:rPr>
          <w:rFonts w:cstheme="minorHAnsi"/>
        </w:rPr>
        <w:t xml:space="preserve"> </w:t>
      </w:r>
      <w:r w:rsidRPr="007856B5">
        <w:rPr>
          <w:rFonts w:cstheme="minorHAnsi"/>
        </w:rPr>
        <w:t>At the Contractor’s discretion, additional transition time may be allowed as appropriate.  Although AHCCCS recognizes the importance of a smooth transition and preserving the existing relationships between providers and members, in order for the member to continue receiving services from a provider, the provider must agree to serve the member and may participate as an in-network provider or sign a single case agreement.</w:t>
      </w:r>
    </w:p>
    <w:p w14:paraId="49D3CAF6" w14:textId="329FD3C1" w:rsidR="00ED22FF" w:rsidRDefault="00ED22FF" w:rsidP="002736B0">
      <w:pPr>
        <w:spacing w:after="0" w:line="240" w:lineRule="auto"/>
        <w:jc w:val="both"/>
        <w:rPr>
          <w:rFonts w:cstheme="minorHAnsi"/>
          <w:b/>
        </w:rPr>
      </w:pPr>
    </w:p>
    <w:tbl>
      <w:tblPr>
        <w:tblStyle w:val="TableGrid"/>
        <w:tblW w:w="5000" w:type="pct"/>
        <w:tblLook w:val="04A0" w:firstRow="1" w:lastRow="0" w:firstColumn="1" w:lastColumn="0" w:noHBand="0" w:noVBand="1"/>
      </w:tblPr>
      <w:tblGrid>
        <w:gridCol w:w="1740"/>
        <w:gridCol w:w="2032"/>
        <w:gridCol w:w="5038"/>
        <w:gridCol w:w="5130"/>
      </w:tblGrid>
      <w:tr w:rsidR="00C03539" w14:paraId="62A92FC7" w14:textId="77777777" w:rsidTr="006E3DCE">
        <w:trPr>
          <w:cantSplit/>
          <w:tblHeader/>
        </w:trPr>
        <w:tc>
          <w:tcPr>
            <w:tcW w:w="5000" w:type="pct"/>
            <w:gridSpan w:val="4"/>
            <w:shd w:val="clear" w:color="auto" w:fill="2F8DCB"/>
            <w:vAlign w:val="center"/>
          </w:tcPr>
          <w:p w14:paraId="15907A1C" w14:textId="77777777" w:rsidR="00C03539" w:rsidRDefault="00C03539" w:rsidP="006E3DCE">
            <w:pPr>
              <w:jc w:val="center"/>
            </w:pPr>
            <w:r w:rsidRPr="007856B5">
              <w:rPr>
                <w:rFonts w:cstheme="minorHAnsi"/>
                <w:b/>
                <w:bCs/>
                <w:color w:val="FFFFFF" w:themeColor="background1"/>
              </w:rPr>
              <w:t>ALTCS EPD YH24-0001 TRANSITION REQUIREMENTS</w:t>
            </w:r>
          </w:p>
        </w:tc>
      </w:tr>
      <w:tr w:rsidR="00C03539" w14:paraId="3FC4F082" w14:textId="77777777" w:rsidTr="006E3DCE">
        <w:trPr>
          <w:cantSplit/>
          <w:tblHeader/>
        </w:trPr>
        <w:tc>
          <w:tcPr>
            <w:tcW w:w="624" w:type="pct"/>
            <w:shd w:val="clear" w:color="auto" w:fill="2F8DCB"/>
            <w:vAlign w:val="center"/>
          </w:tcPr>
          <w:p w14:paraId="0F9ADA8F" w14:textId="77777777" w:rsidR="00C03539" w:rsidRDefault="00C03539" w:rsidP="006E3DCE">
            <w:pPr>
              <w:jc w:val="center"/>
            </w:pPr>
            <w:r w:rsidRPr="007856B5">
              <w:rPr>
                <w:rFonts w:cstheme="minorHAnsi"/>
                <w:b/>
                <w:caps/>
                <w:color w:val="FFFFFF" w:themeColor="background1"/>
              </w:rPr>
              <w:t>Service Type</w:t>
            </w:r>
          </w:p>
        </w:tc>
        <w:tc>
          <w:tcPr>
            <w:tcW w:w="729" w:type="pct"/>
            <w:shd w:val="clear" w:color="auto" w:fill="2F8DCB"/>
            <w:vAlign w:val="center"/>
          </w:tcPr>
          <w:p w14:paraId="42BF5DB1" w14:textId="77777777" w:rsidR="00C03539" w:rsidRDefault="00C03539" w:rsidP="006E3DCE">
            <w:pPr>
              <w:jc w:val="center"/>
            </w:pPr>
            <w:r w:rsidRPr="007856B5">
              <w:rPr>
                <w:rFonts w:cstheme="minorHAnsi"/>
                <w:b/>
                <w:caps/>
                <w:color w:val="FFFFFF" w:themeColor="background1"/>
              </w:rPr>
              <w:t>Provider Type</w:t>
            </w:r>
          </w:p>
        </w:tc>
        <w:tc>
          <w:tcPr>
            <w:tcW w:w="1807" w:type="pct"/>
            <w:shd w:val="clear" w:color="auto" w:fill="2F8DCB"/>
            <w:vAlign w:val="center"/>
          </w:tcPr>
          <w:p w14:paraId="427A1C8D" w14:textId="77777777" w:rsidR="00C03539" w:rsidRDefault="00C03539" w:rsidP="006E3DCE">
            <w:pPr>
              <w:jc w:val="center"/>
            </w:pPr>
            <w:r w:rsidRPr="007856B5">
              <w:rPr>
                <w:rFonts w:cstheme="minorHAnsi"/>
                <w:b/>
                <w:bCs/>
                <w:caps/>
                <w:color w:val="FFFFFF" w:themeColor="background1"/>
              </w:rPr>
              <w:t>adult</w:t>
            </w:r>
          </w:p>
        </w:tc>
        <w:tc>
          <w:tcPr>
            <w:tcW w:w="1840" w:type="pct"/>
            <w:shd w:val="clear" w:color="auto" w:fill="2F8DCB"/>
            <w:vAlign w:val="center"/>
          </w:tcPr>
          <w:p w14:paraId="61A6317A" w14:textId="77777777" w:rsidR="00C03539" w:rsidRDefault="00C03539" w:rsidP="006E3DCE">
            <w:pPr>
              <w:jc w:val="center"/>
            </w:pPr>
            <w:r w:rsidRPr="007856B5">
              <w:rPr>
                <w:rFonts w:cstheme="minorHAnsi"/>
                <w:b/>
                <w:bCs/>
                <w:caps/>
                <w:color w:val="FFFFFF" w:themeColor="background1"/>
              </w:rPr>
              <w:t>child</w:t>
            </w:r>
          </w:p>
        </w:tc>
      </w:tr>
      <w:tr w:rsidR="00C03539" w14:paraId="7B99A506" w14:textId="77777777" w:rsidTr="006E3DCE">
        <w:trPr>
          <w:cantSplit/>
        </w:trPr>
        <w:tc>
          <w:tcPr>
            <w:tcW w:w="624" w:type="pct"/>
            <w:shd w:val="clear" w:color="auto" w:fill="71213A"/>
            <w:vAlign w:val="center"/>
          </w:tcPr>
          <w:p w14:paraId="014B873E" w14:textId="77777777" w:rsidR="00C03539" w:rsidRDefault="00C03539" w:rsidP="006E3DCE">
            <w:pPr>
              <w:jc w:val="center"/>
            </w:pPr>
            <w:r w:rsidRPr="0039713A">
              <w:rPr>
                <w:rFonts w:cstheme="minorHAnsi"/>
                <w:b/>
                <w:caps/>
                <w:color w:val="FFFFFF" w:themeColor="background1"/>
              </w:rPr>
              <w:t>SED</w:t>
            </w:r>
          </w:p>
        </w:tc>
        <w:tc>
          <w:tcPr>
            <w:tcW w:w="729" w:type="pct"/>
            <w:shd w:val="clear" w:color="auto" w:fill="71213A"/>
            <w:vAlign w:val="center"/>
          </w:tcPr>
          <w:p w14:paraId="49900B19" w14:textId="77777777" w:rsidR="00C03539" w:rsidRDefault="00C03539" w:rsidP="006E3DCE">
            <w:pPr>
              <w:jc w:val="center"/>
              <w:rPr>
                <w:rFonts w:cstheme="minorHAnsi"/>
                <w:b/>
                <w:caps/>
                <w:color w:val="FFFFFF" w:themeColor="background1"/>
              </w:rPr>
            </w:pPr>
          </w:p>
          <w:p w14:paraId="3606930E" w14:textId="77777777" w:rsidR="00C03539" w:rsidRPr="0039713A" w:rsidRDefault="00C03539" w:rsidP="006E3DCE">
            <w:pPr>
              <w:jc w:val="center"/>
              <w:rPr>
                <w:rFonts w:cstheme="minorHAnsi"/>
                <w:b/>
                <w:caps/>
                <w:color w:val="FFFFFF" w:themeColor="background1"/>
              </w:rPr>
            </w:pPr>
            <w:r w:rsidRPr="0039713A">
              <w:rPr>
                <w:rFonts w:cstheme="minorHAnsi"/>
                <w:b/>
                <w:caps/>
                <w:color w:val="FFFFFF" w:themeColor="background1"/>
              </w:rPr>
              <w:t>Specialist</w:t>
            </w:r>
          </w:p>
          <w:p w14:paraId="35443E47" w14:textId="77777777" w:rsidR="00C03539" w:rsidRDefault="00C03539" w:rsidP="006E3DCE">
            <w:pPr>
              <w:jc w:val="center"/>
            </w:pPr>
          </w:p>
        </w:tc>
        <w:tc>
          <w:tcPr>
            <w:tcW w:w="1807" w:type="pct"/>
          </w:tcPr>
          <w:p w14:paraId="1615FA7E" w14:textId="77777777" w:rsidR="00C03539" w:rsidRDefault="00C03539" w:rsidP="006E3DCE">
            <w:pPr>
              <w:jc w:val="both"/>
            </w:pPr>
            <w:r w:rsidRPr="007856B5">
              <w:rPr>
                <w:rFonts w:cstheme="minorHAnsi"/>
              </w:rPr>
              <w:t xml:space="preserve">When individuals are determined to have an SED designation and transition to a new Contractor for their care, members in active treatment (including by not limited to chemotherapy, pregnancy, drug regime or scheduled procedure) with a provider shall be allowed to continue receiving treatment from the provider through the duration of their prescribed treatment (“Course of Care”) regardless of whether or not the specialist participates in the Contractor’s provider network.  </w:t>
            </w:r>
          </w:p>
        </w:tc>
        <w:tc>
          <w:tcPr>
            <w:tcW w:w="1840" w:type="pct"/>
          </w:tcPr>
          <w:p w14:paraId="64377F4D" w14:textId="77777777" w:rsidR="00C03539" w:rsidRDefault="00C03539" w:rsidP="006E3DCE">
            <w:pPr>
              <w:jc w:val="both"/>
              <w:rPr>
                <w:rFonts w:cstheme="minorHAnsi"/>
              </w:rPr>
            </w:pPr>
            <w:r w:rsidRPr="007856B5">
              <w:rPr>
                <w:rFonts w:cstheme="minorHAnsi"/>
              </w:rPr>
              <w:t xml:space="preserve">When individuals are determined to have an SED designation and transition to a new Contractor for their care, members in active treatment (including by not limited to chemotherapy, pregnancy, drug regime or scheduled procedure) with a provider shall be allowed to continue receiving treatment from the provider through the duration of their prescribed treatment (“Course of Care”) regardless of whether or not the specialist participates in the Contractor’s provider network.  Treatment may begin no later than 16 years of age in accordance with AMPM </w:t>
            </w:r>
            <w:r>
              <w:rPr>
                <w:rFonts w:cstheme="minorHAnsi"/>
              </w:rPr>
              <w:t xml:space="preserve">Policy </w:t>
            </w:r>
            <w:r w:rsidRPr="007856B5">
              <w:rPr>
                <w:rFonts w:cstheme="minorHAnsi"/>
              </w:rPr>
              <w:t>280.</w:t>
            </w:r>
          </w:p>
          <w:p w14:paraId="401B8A69" w14:textId="77777777" w:rsidR="00C03539" w:rsidRDefault="00C03539" w:rsidP="006E3DCE">
            <w:pPr>
              <w:jc w:val="both"/>
            </w:pPr>
          </w:p>
        </w:tc>
      </w:tr>
      <w:tr w:rsidR="00C03539" w14:paraId="2915635E" w14:textId="77777777" w:rsidTr="006E3DCE">
        <w:trPr>
          <w:cantSplit/>
        </w:trPr>
        <w:tc>
          <w:tcPr>
            <w:tcW w:w="624" w:type="pct"/>
            <w:shd w:val="clear" w:color="auto" w:fill="71213A"/>
            <w:vAlign w:val="center"/>
          </w:tcPr>
          <w:p w14:paraId="505CD0F0" w14:textId="77777777" w:rsidR="00C03539" w:rsidRDefault="00C03539" w:rsidP="006E3DCE">
            <w:pPr>
              <w:jc w:val="center"/>
            </w:pPr>
            <w:r w:rsidRPr="0039713A">
              <w:rPr>
                <w:rFonts w:cstheme="minorHAnsi"/>
                <w:b/>
                <w:caps/>
                <w:color w:val="FFFFFF" w:themeColor="background1"/>
              </w:rPr>
              <w:t>SMI</w:t>
            </w:r>
          </w:p>
        </w:tc>
        <w:tc>
          <w:tcPr>
            <w:tcW w:w="729" w:type="pct"/>
            <w:shd w:val="clear" w:color="auto" w:fill="71213A"/>
            <w:vAlign w:val="center"/>
          </w:tcPr>
          <w:p w14:paraId="13C86779" w14:textId="77777777" w:rsidR="00C03539" w:rsidRDefault="00C03539" w:rsidP="006E3DCE">
            <w:pPr>
              <w:jc w:val="center"/>
              <w:rPr>
                <w:rFonts w:cstheme="minorHAnsi"/>
                <w:b/>
                <w:caps/>
                <w:color w:val="FFFFFF" w:themeColor="background1"/>
              </w:rPr>
            </w:pPr>
          </w:p>
          <w:p w14:paraId="0A365019" w14:textId="77777777" w:rsidR="00C03539" w:rsidRPr="0039713A" w:rsidRDefault="00C03539" w:rsidP="006E3DCE">
            <w:pPr>
              <w:jc w:val="center"/>
              <w:rPr>
                <w:rFonts w:cstheme="minorHAnsi"/>
                <w:b/>
                <w:caps/>
                <w:color w:val="FFFFFF" w:themeColor="background1"/>
              </w:rPr>
            </w:pPr>
            <w:r w:rsidRPr="0039713A">
              <w:rPr>
                <w:rFonts w:cstheme="minorHAnsi"/>
                <w:b/>
                <w:caps/>
                <w:color w:val="FFFFFF" w:themeColor="background1"/>
              </w:rPr>
              <w:t>Specialist</w:t>
            </w:r>
          </w:p>
          <w:p w14:paraId="60AB78F7" w14:textId="77777777" w:rsidR="00C03539" w:rsidRDefault="00C03539" w:rsidP="006E3DCE">
            <w:pPr>
              <w:jc w:val="center"/>
            </w:pPr>
          </w:p>
        </w:tc>
        <w:tc>
          <w:tcPr>
            <w:tcW w:w="1807" w:type="pct"/>
          </w:tcPr>
          <w:p w14:paraId="2D4C8A2D" w14:textId="77777777" w:rsidR="00C03539" w:rsidRDefault="00C03539" w:rsidP="006E3DCE">
            <w:pPr>
              <w:jc w:val="both"/>
              <w:rPr>
                <w:rFonts w:cstheme="minorHAnsi"/>
              </w:rPr>
            </w:pPr>
            <w:r w:rsidRPr="007856B5">
              <w:rPr>
                <w:rFonts w:cstheme="minorHAnsi"/>
              </w:rPr>
              <w:t xml:space="preserve">When individuals are determined to have an SMI designation and transition to a new Contractor for their care, members in active treatment (including by not limited to chemotherapy, pregnancy, drug regime or scheduled procedure) with a provider shall be allowed to continue receiving treatment from the provider through the duration of their prescribed treatment (“Course of Care”) regardless of whether or not the specialist participates in the Contractor’s provider network. </w:t>
            </w:r>
          </w:p>
          <w:p w14:paraId="6C5DB025" w14:textId="77777777" w:rsidR="00C03539" w:rsidRDefault="00C03539" w:rsidP="006E3DCE">
            <w:pPr>
              <w:jc w:val="both"/>
            </w:pPr>
          </w:p>
        </w:tc>
        <w:tc>
          <w:tcPr>
            <w:tcW w:w="1840" w:type="pct"/>
          </w:tcPr>
          <w:p w14:paraId="613B6670" w14:textId="77777777" w:rsidR="00C03539" w:rsidRDefault="00C03539" w:rsidP="006E3DCE">
            <w:pPr>
              <w:jc w:val="both"/>
              <w:rPr>
                <w:rFonts w:cstheme="minorHAnsi"/>
              </w:rPr>
            </w:pPr>
            <w:r w:rsidRPr="007856B5">
              <w:rPr>
                <w:rFonts w:cstheme="minorHAnsi"/>
              </w:rPr>
              <w:t xml:space="preserve">When individuals are determined to have an SMI designation and transition to a new Contractor for their care, members in active treatment (including by not limited to chemotherapy, pregnancy, drug regime or scheduled procedure) with a provider shall be allowed to continue receiving treatment from the provider through the duration of their prescribed treatment (“Course of Care”) regardless of whether or not the specialist participates in the Contractor’s provider network.  </w:t>
            </w:r>
          </w:p>
          <w:p w14:paraId="3ED5BF36" w14:textId="77777777" w:rsidR="00C03539" w:rsidRDefault="00C03539" w:rsidP="006E3DCE">
            <w:pPr>
              <w:jc w:val="both"/>
            </w:pPr>
          </w:p>
        </w:tc>
      </w:tr>
      <w:tr w:rsidR="00C03539" w14:paraId="4D777626" w14:textId="77777777" w:rsidTr="006E3DCE">
        <w:trPr>
          <w:cantSplit/>
        </w:trPr>
        <w:tc>
          <w:tcPr>
            <w:tcW w:w="624" w:type="pct"/>
            <w:shd w:val="clear" w:color="auto" w:fill="71213A"/>
            <w:vAlign w:val="center"/>
          </w:tcPr>
          <w:p w14:paraId="3491E471" w14:textId="77777777" w:rsidR="00C03539" w:rsidRDefault="00C03539" w:rsidP="006E3DCE">
            <w:pPr>
              <w:jc w:val="center"/>
            </w:pPr>
            <w:r w:rsidRPr="0039713A">
              <w:rPr>
                <w:rFonts w:cstheme="minorHAnsi"/>
                <w:b/>
                <w:caps/>
                <w:color w:val="FFFFFF" w:themeColor="background1"/>
              </w:rPr>
              <w:t>Out of Home Placements</w:t>
            </w:r>
          </w:p>
        </w:tc>
        <w:tc>
          <w:tcPr>
            <w:tcW w:w="729" w:type="pct"/>
            <w:shd w:val="clear" w:color="auto" w:fill="71213A"/>
            <w:vAlign w:val="center"/>
          </w:tcPr>
          <w:p w14:paraId="5BF58DFA" w14:textId="77777777" w:rsidR="00C03539" w:rsidRDefault="00C03539" w:rsidP="006E3DCE">
            <w:pPr>
              <w:jc w:val="center"/>
            </w:pPr>
          </w:p>
        </w:tc>
        <w:tc>
          <w:tcPr>
            <w:tcW w:w="1807" w:type="pct"/>
          </w:tcPr>
          <w:p w14:paraId="7654A23C" w14:textId="77777777" w:rsidR="00C03539" w:rsidRDefault="00C03539" w:rsidP="006E3DCE">
            <w:pPr>
              <w:jc w:val="both"/>
            </w:pPr>
            <w:r w:rsidRPr="000466EA">
              <w:rPr>
                <w:rFonts w:cstheme="minorHAnsi"/>
              </w:rPr>
              <w:t>The Contractor shall attempt to establish a contract with the non-contracted setting in the instance members are currently residing in the facility. In the event the receiving Contractor</w:t>
            </w:r>
            <w:r w:rsidRPr="000466EA">
              <w:rPr>
                <w:rFonts w:eastAsia="Times New Roman" w:cstheme="minorHAnsi"/>
              </w:rPr>
              <w:t xml:space="preserve"> is not willing or able to secure a contract, the receiving Contractor shall give at least seven days  advance written notice advising the member that they shall move to a facility contracting with the receiving Contractor. If a member’s condition does not permit transfer to another facility, the Contractor shall compensate the registered non-contracting provider at the AHCCCS FFS rate or at a rate negotiated with the provider, until the member can be transferred.</w:t>
            </w:r>
          </w:p>
        </w:tc>
        <w:tc>
          <w:tcPr>
            <w:tcW w:w="1840" w:type="pct"/>
          </w:tcPr>
          <w:p w14:paraId="27E0BFA6" w14:textId="77777777" w:rsidR="00C03539" w:rsidRDefault="00C03539" w:rsidP="006E3DCE">
            <w:pPr>
              <w:jc w:val="both"/>
              <w:rPr>
                <w:rFonts w:eastAsia="Times New Roman" w:cstheme="minorHAnsi"/>
              </w:rPr>
            </w:pPr>
            <w:r w:rsidRPr="000466EA">
              <w:rPr>
                <w:rFonts w:cstheme="minorHAnsi"/>
              </w:rPr>
              <w:t>The Contractor shall attempt to establish a contract with the non-contracted setting in the instance members are currently residing in the facility. In the event the receiving Contractor</w:t>
            </w:r>
            <w:r w:rsidRPr="000466EA">
              <w:rPr>
                <w:rFonts w:eastAsia="Times New Roman" w:cstheme="minorHAnsi"/>
              </w:rPr>
              <w:t xml:space="preserve"> is not willing or able to secure a contract, the receiving Contractor shall give at least seven days advance written notice advising the member that they shall move to a facility contracting with the receiving Contractor. If a member’s condition does not permit transfer to another facility, the Contractor shall compensate the registered non-contracting provider at the AHCCCS FFS rate or at a rate negotiated with the provider, until the member can be transferred.</w:t>
            </w:r>
          </w:p>
          <w:p w14:paraId="742513DA" w14:textId="77777777" w:rsidR="00C03539" w:rsidRDefault="00C03539" w:rsidP="006E3DCE">
            <w:pPr>
              <w:jc w:val="both"/>
            </w:pPr>
          </w:p>
        </w:tc>
      </w:tr>
      <w:tr w:rsidR="00C03539" w14:paraId="10476033" w14:textId="77777777" w:rsidTr="006E3DCE">
        <w:trPr>
          <w:cantSplit/>
        </w:trPr>
        <w:tc>
          <w:tcPr>
            <w:tcW w:w="624" w:type="pct"/>
            <w:shd w:val="clear" w:color="auto" w:fill="71213A"/>
            <w:vAlign w:val="center"/>
          </w:tcPr>
          <w:p w14:paraId="7AFC75A1" w14:textId="77777777" w:rsidR="00C03539" w:rsidRDefault="00C03539" w:rsidP="006E3DCE">
            <w:pPr>
              <w:jc w:val="center"/>
            </w:pPr>
            <w:r w:rsidRPr="0039713A">
              <w:rPr>
                <w:rFonts w:cstheme="minorHAnsi"/>
                <w:b/>
                <w:caps/>
                <w:color w:val="FFFFFF" w:themeColor="background1"/>
              </w:rPr>
              <w:t>Hospitalized at Time of Transition</w:t>
            </w:r>
          </w:p>
        </w:tc>
        <w:tc>
          <w:tcPr>
            <w:tcW w:w="729" w:type="pct"/>
            <w:shd w:val="clear" w:color="auto" w:fill="71213A"/>
            <w:vAlign w:val="center"/>
          </w:tcPr>
          <w:p w14:paraId="42399BEC" w14:textId="77777777" w:rsidR="00C03539" w:rsidRDefault="00C03539" w:rsidP="006E3DCE">
            <w:pPr>
              <w:jc w:val="center"/>
            </w:pPr>
          </w:p>
        </w:tc>
        <w:tc>
          <w:tcPr>
            <w:tcW w:w="1807" w:type="pct"/>
          </w:tcPr>
          <w:p w14:paraId="371F7F15" w14:textId="77777777" w:rsidR="00C03539" w:rsidRDefault="00C03539" w:rsidP="006E3DCE">
            <w:pPr>
              <w:jc w:val="both"/>
            </w:pPr>
            <w:r w:rsidRPr="007856B5">
              <w:rPr>
                <w:rFonts w:cstheme="minorHAnsi"/>
              </w:rPr>
              <w:t>The Contractor shall make provisions for the transition of care for members who are hospitalized on the day of an enrollment change. The provisions shall include processes for the following: 1. Notification to the receiving Contractor prior to the date of the transition, for continued authorization of treatment and service coordination. 2. Notification to the hospital and attending physician of the transition by the relinquishing Contractor. The relinquishing Contractor shall notify the hospital and attending physician of the pending transition prior to the date of the transition and instruct the providers to contact the receiving Contractor for authorization of continued services. If the relinquishing Contractor fails to provide notification to the receiving Contractor, hospital, and the attending physician, relative to the transitioning member, the relinquishing Contractor shall be responsible for coverage of services rendered to the hospitalized member for up to 30 days. This includes, but is not limited to, elective surgeries for which the relinquishing Contractor issued prior authorization.</w:t>
            </w:r>
          </w:p>
        </w:tc>
        <w:tc>
          <w:tcPr>
            <w:tcW w:w="1840" w:type="pct"/>
          </w:tcPr>
          <w:p w14:paraId="4E5B1402" w14:textId="77777777" w:rsidR="00C03539" w:rsidRDefault="00C03539" w:rsidP="006E3DCE">
            <w:pPr>
              <w:jc w:val="both"/>
              <w:rPr>
                <w:rFonts w:cstheme="minorHAnsi"/>
              </w:rPr>
            </w:pPr>
            <w:r w:rsidRPr="007856B5">
              <w:rPr>
                <w:rFonts w:cstheme="minorHAnsi"/>
              </w:rPr>
              <w:t>The Contractor shall make provisions for the transition of care for members who are hospitalized on the day of an enrollment change. The provisions shall include processes for the following: 1. Notification to the receiving Contractor Program prior to the date of the transition, for continued authorization of treatment and service coordination. 2. Notification to the hospital and attending physician of the transition by the relinquishing Contractor. The relinquishing Contractor shall notify the hospital and attending physician of the pending transition prior to the date of the transition and instruct the providers to contact the receiving Contractor for authorization of continued services. If the relinquishing Contractor fails to provide notification to the receiving Contractor, hospital, and the attending physician, relative to the transitioning member, the relinquishing Contractor shall be responsible for coverage of services rendered to the hospitalized member for up to 30 days. This includes, but is not limited to, elective surgeries for which the relinquishing Contractor issued prior authorization.</w:t>
            </w:r>
          </w:p>
          <w:p w14:paraId="171B603A" w14:textId="77777777" w:rsidR="00C03539" w:rsidRDefault="00C03539" w:rsidP="006E3DCE">
            <w:pPr>
              <w:jc w:val="both"/>
            </w:pPr>
          </w:p>
        </w:tc>
      </w:tr>
      <w:tr w:rsidR="00C03539" w14:paraId="401F72EA" w14:textId="77777777" w:rsidTr="006E3DCE">
        <w:trPr>
          <w:cantSplit/>
        </w:trPr>
        <w:tc>
          <w:tcPr>
            <w:tcW w:w="624" w:type="pct"/>
            <w:shd w:val="clear" w:color="auto" w:fill="71213A"/>
            <w:vAlign w:val="center"/>
          </w:tcPr>
          <w:p w14:paraId="1D4230D0" w14:textId="77777777" w:rsidR="00C03539" w:rsidRDefault="00C03539" w:rsidP="006E3DCE">
            <w:pPr>
              <w:jc w:val="center"/>
            </w:pPr>
            <w:r w:rsidRPr="0039713A">
              <w:rPr>
                <w:rFonts w:cstheme="minorHAnsi"/>
                <w:b/>
                <w:caps/>
                <w:color w:val="FFFFFF" w:themeColor="background1"/>
              </w:rPr>
              <w:t>Pharmacy</w:t>
            </w:r>
          </w:p>
        </w:tc>
        <w:tc>
          <w:tcPr>
            <w:tcW w:w="729" w:type="pct"/>
            <w:shd w:val="clear" w:color="auto" w:fill="71213A"/>
            <w:vAlign w:val="center"/>
          </w:tcPr>
          <w:p w14:paraId="0F575C74" w14:textId="77777777" w:rsidR="00C03539" w:rsidRDefault="00C03539" w:rsidP="006E3DCE">
            <w:pPr>
              <w:jc w:val="center"/>
            </w:pPr>
          </w:p>
        </w:tc>
        <w:tc>
          <w:tcPr>
            <w:tcW w:w="1807" w:type="pct"/>
          </w:tcPr>
          <w:p w14:paraId="25828D28" w14:textId="77777777" w:rsidR="00C03539" w:rsidRDefault="00C03539" w:rsidP="006E3DCE">
            <w:pPr>
              <w:jc w:val="both"/>
            </w:pPr>
            <w:r w:rsidRPr="007856B5">
              <w:rPr>
                <w:rFonts w:cstheme="minorHAnsi"/>
              </w:rPr>
              <w:t>The receiving Contractor shall extend previously approved prior authorizations for a period of 90 days from the date of the member’s transition unless a different time period is mutually agreed to by the member or member’s representative.</w:t>
            </w:r>
          </w:p>
        </w:tc>
        <w:tc>
          <w:tcPr>
            <w:tcW w:w="1840" w:type="pct"/>
          </w:tcPr>
          <w:p w14:paraId="1C6E0828" w14:textId="77777777" w:rsidR="00C03539" w:rsidRDefault="00C03539" w:rsidP="006E3DCE">
            <w:pPr>
              <w:jc w:val="both"/>
              <w:rPr>
                <w:rFonts w:cstheme="minorHAnsi"/>
              </w:rPr>
            </w:pPr>
            <w:r w:rsidRPr="007856B5">
              <w:rPr>
                <w:rFonts w:cstheme="minorHAnsi"/>
              </w:rPr>
              <w:t>The receiving Contractor shall extend previously approved prior authorizations for a period of 90 days from the date of the member’s transition unless a different time period is mutually agreed to by the member or member’s representative.</w:t>
            </w:r>
          </w:p>
          <w:p w14:paraId="443BAB17" w14:textId="77777777" w:rsidR="00C03539" w:rsidRDefault="00C03539" w:rsidP="006E3DCE">
            <w:pPr>
              <w:jc w:val="both"/>
            </w:pPr>
          </w:p>
        </w:tc>
      </w:tr>
      <w:tr w:rsidR="00C03539" w14:paraId="2F8CAF8D" w14:textId="77777777" w:rsidTr="006E3DCE">
        <w:trPr>
          <w:cantSplit/>
        </w:trPr>
        <w:tc>
          <w:tcPr>
            <w:tcW w:w="624" w:type="pct"/>
            <w:shd w:val="clear" w:color="auto" w:fill="71213A"/>
            <w:vAlign w:val="center"/>
          </w:tcPr>
          <w:p w14:paraId="11884185" w14:textId="77777777" w:rsidR="00C03539" w:rsidRPr="0039713A" w:rsidRDefault="00C03539" w:rsidP="006E3DCE">
            <w:pPr>
              <w:jc w:val="center"/>
              <w:rPr>
                <w:rFonts w:cstheme="minorHAnsi"/>
                <w:b/>
                <w:caps/>
                <w:color w:val="FFFFFF" w:themeColor="background1"/>
              </w:rPr>
            </w:pPr>
            <w:r w:rsidRPr="0039713A">
              <w:rPr>
                <w:rFonts w:cstheme="minorHAnsi"/>
                <w:b/>
                <w:caps/>
                <w:color w:val="FFFFFF" w:themeColor="background1"/>
              </w:rPr>
              <w:t>BH Services</w:t>
            </w:r>
          </w:p>
          <w:p w14:paraId="33463BDF" w14:textId="77777777" w:rsidR="00C03539" w:rsidRDefault="00C03539" w:rsidP="006E3DCE">
            <w:pPr>
              <w:jc w:val="center"/>
            </w:pPr>
          </w:p>
        </w:tc>
        <w:tc>
          <w:tcPr>
            <w:tcW w:w="729" w:type="pct"/>
            <w:shd w:val="clear" w:color="auto" w:fill="71213A"/>
            <w:vAlign w:val="center"/>
          </w:tcPr>
          <w:p w14:paraId="2873A877" w14:textId="77777777" w:rsidR="00C03539" w:rsidRDefault="00C03539" w:rsidP="006E3DCE">
            <w:pPr>
              <w:jc w:val="center"/>
              <w:rPr>
                <w:rFonts w:cstheme="minorHAnsi"/>
                <w:b/>
                <w:caps/>
                <w:color w:val="FFFFFF" w:themeColor="background1"/>
              </w:rPr>
            </w:pPr>
          </w:p>
          <w:p w14:paraId="78129786" w14:textId="77777777" w:rsidR="00C03539" w:rsidRPr="0039713A" w:rsidRDefault="00C03539" w:rsidP="006E3DCE">
            <w:pPr>
              <w:jc w:val="center"/>
              <w:rPr>
                <w:rFonts w:cstheme="minorHAnsi"/>
                <w:b/>
                <w:caps/>
                <w:color w:val="FFFFFF" w:themeColor="background1"/>
              </w:rPr>
            </w:pPr>
            <w:r w:rsidRPr="0039713A">
              <w:rPr>
                <w:rFonts w:cstheme="minorHAnsi"/>
                <w:b/>
                <w:caps/>
                <w:color w:val="FFFFFF" w:themeColor="background1"/>
              </w:rPr>
              <w:t>Specialist</w:t>
            </w:r>
          </w:p>
          <w:p w14:paraId="7C4BD5A7" w14:textId="77777777" w:rsidR="00C03539" w:rsidRPr="0039713A" w:rsidRDefault="00C03539" w:rsidP="006E3DCE">
            <w:pPr>
              <w:jc w:val="center"/>
              <w:rPr>
                <w:rFonts w:cstheme="minorHAnsi"/>
                <w:b/>
                <w:caps/>
                <w:color w:val="FFFFFF" w:themeColor="background1"/>
              </w:rPr>
            </w:pPr>
          </w:p>
          <w:p w14:paraId="0450701E" w14:textId="77777777" w:rsidR="00C03539" w:rsidRDefault="00C03539" w:rsidP="006E3DCE">
            <w:pPr>
              <w:jc w:val="center"/>
            </w:pPr>
          </w:p>
        </w:tc>
        <w:tc>
          <w:tcPr>
            <w:tcW w:w="1807" w:type="pct"/>
          </w:tcPr>
          <w:p w14:paraId="1CE9D989" w14:textId="77777777" w:rsidR="00C03539" w:rsidRDefault="00C03539" w:rsidP="006E3DCE">
            <w:pPr>
              <w:jc w:val="both"/>
              <w:rPr>
                <w:rFonts w:cstheme="minorHAnsi"/>
              </w:rPr>
            </w:pPr>
            <w:r w:rsidRPr="007856B5">
              <w:rPr>
                <w:rFonts w:cstheme="minorHAnsi"/>
              </w:rPr>
              <w:t>The Contractor shall allow members receiving behavioral health treatment and services (including Peer and Family support), at the time of transition that is provided by a specialist and identified in the member’s service plan to be rendered by the specific provider regardless of whether or not the specialist participates in the Contractor’s provider network. If the provider remains outside the Contractor’s network, the specialist may continue providing the service for the duration of the treatment or six months; whichever occurs first. Cases with extenuating circumstances will be resolved on a case by case basis.</w:t>
            </w:r>
          </w:p>
          <w:p w14:paraId="524B1DCE" w14:textId="77777777" w:rsidR="00C03539" w:rsidRDefault="00C03539" w:rsidP="006E3DCE">
            <w:pPr>
              <w:jc w:val="both"/>
            </w:pPr>
          </w:p>
        </w:tc>
        <w:tc>
          <w:tcPr>
            <w:tcW w:w="1840" w:type="pct"/>
          </w:tcPr>
          <w:p w14:paraId="26C35B27" w14:textId="77777777" w:rsidR="00C03539" w:rsidRDefault="00C03539" w:rsidP="006E3DCE">
            <w:pPr>
              <w:jc w:val="both"/>
            </w:pPr>
            <w:r w:rsidRPr="007856B5">
              <w:rPr>
                <w:rFonts w:cstheme="minorHAnsi"/>
              </w:rPr>
              <w:t>The Contractor shall allow members receiving behavioral health treatment and services (including Peer and Family support), at the time of transition that is provided by a specialist and identified in the member’s service plan to be rendered by the specific provider regardless of whether or not the specialist participates in the Contractor’s provider network. If the provider remains outside the Contractor’s network, the specialist may continue providing the service for the duration of the treatment or six months; whichever occurs first. Cases with extenuating circumstances will be resolved on a case by case basis.</w:t>
            </w:r>
          </w:p>
        </w:tc>
      </w:tr>
      <w:tr w:rsidR="00C03539" w14:paraId="058A9D75" w14:textId="77777777" w:rsidTr="006E3DCE">
        <w:trPr>
          <w:cantSplit/>
        </w:trPr>
        <w:tc>
          <w:tcPr>
            <w:tcW w:w="624" w:type="pct"/>
            <w:shd w:val="clear" w:color="auto" w:fill="71213A"/>
            <w:vAlign w:val="center"/>
          </w:tcPr>
          <w:p w14:paraId="43377988" w14:textId="77777777" w:rsidR="00C03539" w:rsidRDefault="00C03539" w:rsidP="006E3DCE">
            <w:pPr>
              <w:jc w:val="center"/>
            </w:pPr>
            <w:r w:rsidRPr="0039713A">
              <w:rPr>
                <w:rFonts w:cstheme="minorHAnsi"/>
                <w:b/>
                <w:caps/>
                <w:color w:val="FFFFFF" w:themeColor="background1"/>
              </w:rPr>
              <w:t>CRS Services</w:t>
            </w:r>
          </w:p>
        </w:tc>
        <w:tc>
          <w:tcPr>
            <w:tcW w:w="729" w:type="pct"/>
            <w:shd w:val="clear" w:color="auto" w:fill="71213A"/>
            <w:vAlign w:val="center"/>
          </w:tcPr>
          <w:p w14:paraId="423E30EB" w14:textId="77777777" w:rsidR="00C03539" w:rsidRDefault="00C03539" w:rsidP="006E3DCE">
            <w:pPr>
              <w:jc w:val="center"/>
            </w:pPr>
            <w:r w:rsidRPr="0039713A">
              <w:rPr>
                <w:rFonts w:cstheme="minorHAnsi"/>
                <w:b/>
                <w:caps/>
                <w:color w:val="FFFFFF" w:themeColor="background1"/>
              </w:rPr>
              <w:t>Specialist</w:t>
            </w:r>
          </w:p>
        </w:tc>
        <w:tc>
          <w:tcPr>
            <w:tcW w:w="1807" w:type="pct"/>
          </w:tcPr>
          <w:p w14:paraId="66E79164" w14:textId="77777777" w:rsidR="00C03539" w:rsidRDefault="00C03539" w:rsidP="006E3DCE">
            <w:pPr>
              <w:jc w:val="both"/>
              <w:rPr>
                <w:rFonts w:cstheme="minorHAnsi"/>
              </w:rPr>
            </w:pPr>
            <w:r w:rsidRPr="007856B5">
              <w:rPr>
                <w:rFonts w:cstheme="minorHAnsi"/>
              </w:rPr>
              <w:t>The Contractor shall allow members receiving an active course of treatment, identified in the service plan for a serious and chronic physical, developmental, or behavioral health condition to receive the services from their established provider for the duration of their treatment or six months; whichever occurs first, regardless of whether or not the specialist participates in the Contractor’s provider network. Cases with extenuating circumstances will be resolved on a case by case basis.</w:t>
            </w:r>
          </w:p>
          <w:p w14:paraId="5CC1AA5A" w14:textId="77777777" w:rsidR="00C03539" w:rsidRDefault="00C03539" w:rsidP="006E3DCE">
            <w:pPr>
              <w:jc w:val="both"/>
            </w:pPr>
          </w:p>
        </w:tc>
        <w:tc>
          <w:tcPr>
            <w:tcW w:w="1840" w:type="pct"/>
          </w:tcPr>
          <w:p w14:paraId="0CB136A9" w14:textId="77777777" w:rsidR="00C03539" w:rsidRDefault="00C03539" w:rsidP="006E3DCE">
            <w:pPr>
              <w:jc w:val="both"/>
            </w:pPr>
            <w:r w:rsidRPr="007856B5">
              <w:rPr>
                <w:rFonts w:cstheme="minorHAnsi"/>
              </w:rPr>
              <w:t>The Contractor shall allow members receiving an active course of treatment, identified in the service plan for a serious and chronic physical, developmental ,or behavioral health condition to receive the services from their established provider for the duration of their treatment or six months; whichever occurs first, regardless of whether or not the specialist participates in the Contractor’s provider network. Cases with extenuating circumstances will be resolved on a case by case basis.</w:t>
            </w:r>
          </w:p>
        </w:tc>
      </w:tr>
      <w:tr w:rsidR="00C03539" w14:paraId="1F2702BC" w14:textId="77777777" w:rsidTr="006E3DCE">
        <w:trPr>
          <w:cantSplit/>
        </w:trPr>
        <w:tc>
          <w:tcPr>
            <w:tcW w:w="624" w:type="pct"/>
            <w:shd w:val="clear" w:color="auto" w:fill="71213A"/>
            <w:vAlign w:val="center"/>
          </w:tcPr>
          <w:p w14:paraId="31C73D7D" w14:textId="77777777" w:rsidR="00C03539" w:rsidRDefault="00C03539" w:rsidP="006E3DCE">
            <w:pPr>
              <w:jc w:val="center"/>
            </w:pPr>
            <w:r w:rsidRPr="0039713A">
              <w:rPr>
                <w:rFonts w:cstheme="minorHAnsi"/>
                <w:b/>
                <w:caps/>
                <w:color w:val="FFFFFF" w:themeColor="background1"/>
              </w:rPr>
              <w:t>CRS Services</w:t>
            </w:r>
          </w:p>
        </w:tc>
        <w:tc>
          <w:tcPr>
            <w:tcW w:w="729" w:type="pct"/>
            <w:shd w:val="clear" w:color="auto" w:fill="71213A"/>
            <w:vAlign w:val="center"/>
          </w:tcPr>
          <w:p w14:paraId="438EAFCA" w14:textId="77777777" w:rsidR="00C03539" w:rsidRDefault="00C03539" w:rsidP="006E3DCE">
            <w:pPr>
              <w:jc w:val="center"/>
            </w:pPr>
            <w:r w:rsidRPr="0039713A">
              <w:rPr>
                <w:rFonts w:cstheme="minorHAnsi"/>
                <w:b/>
                <w:caps/>
                <w:color w:val="FFFFFF" w:themeColor="background1"/>
              </w:rPr>
              <w:t>MSIC</w:t>
            </w:r>
          </w:p>
        </w:tc>
        <w:tc>
          <w:tcPr>
            <w:tcW w:w="1807" w:type="pct"/>
          </w:tcPr>
          <w:p w14:paraId="53FAA7E1" w14:textId="77777777" w:rsidR="00C03539" w:rsidRDefault="00C03539" w:rsidP="006E3DCE">
            <w:pPr>
              <w:jc w:val="both"/>
              <w:rPr>
                <w:rFonts w:cstheme="minorHAnsi"/>
              </w:rPr>
            </w:pPr>
            <w:r w:rsidRPr="007856B5">
              <w:rPr>
                <w:rFonts w:cstheme="minorHAnsi"/>
              </w:rPr>
              <w:t>Transitioning members may continue to utilize their previous MSIC when the receiving Contractor has not been successful in contracting with the MSIC.</w:t>
            </w:r>
          </w:p>
          <w:p w14:paraId="5207583A" w14:textId="77777777" w:rsidR="00C03539" w:rsidRDefault="00C03539" w:rsidP="006E3DCE">
            <w:pPr>
              <w:jc w:val="both"/>
            </w:pPr>
          </w:p>
        </w:tc>
        <w:tc>
          <w:tcPr>
            <w:tcW w:w="1840" w:type="pct"/>
          </w:tcPr>
          <w:p w14:paraId="7ED07BB6" w14:textId="77777777" w:rsidR="00C03539" w:rsidRDefault="00C03539" w:rsidP="006E3DCE">
            <w:pPr>
              <w:jc w:val="both"/>
            </w:pPr>
            <w:r w:rsidRPr="007856B5">
              <w:rPr>
                <w:rFonts w:cstheme="minorHAnsi"/>
              </w:rPr>
              <w:t>Transitioning members may continue to utilize their previous MSIC when the receiving Contractor has not been successful in contracting with the MSIC.</w:t>
            </w:r>
          </w:p>
        </w:tc>
      </w:tr>
      <w:tr w:rsidR="00C03539" w14:paraId="2AF604AE" w14:textId="77777777" w:rsidTr="006E3DCE">
        <w:trPr>
          <w:cantSplit/>
        </w:trPr>
        <w:tc>
          <w:tcPr>
            <w:tcW w:w="624" w:type="pct"/>
            <w:shd w:val="clear" w:color="auto" w:fill="71213A"/>
            <w:vAlign w:val="center"/>
          </w:tcPr>
          <w:p w14:paraId="36A0A576" w14:textId="77777777" w:rsidR="00C03539" w:rsidRPr="0039713A" w:rsidRDefault="00C03539" w:rsidP="006E3DCE">
            <w:pPr>
              <w:jc w:val="center"/>
              <w:rPr>
                <w:rFonts w:cstheme="minorHAnsi"/>
                <w:b/>
                <w:caps/>
                <w:color w:val="FFFFFF" w:themeColor="background1"/>
              </w:rPr>
            </w:pPr>
            <w:r w:rsidRPr="0039713A">
              <w:rPr>
                <w:rFonts w:cstheme="minorHAnsi"/>
                <w:b/>
                <w:caps/>
                <w:color w:val="FFFFFF" w:themeColor="background1"/>
              </w:rPr>
              <w:t>Services Requiring Ongoing Care not Generally Provided by a Primary Care Provider</w:t>
            </w:r>
          </w:p>
          <w:p w14:paraId="4BF87E6D" w14:textId="77777777" w:rsidR="00C03539" w:rsidRDefault="00C03539" w:rsidP="006E3DCE">
            <w:pPr>
              <w:jc w:val="center"/>
            </w:pPr>
          </w:p>
        </w:tc>
        <w:tc>
          <w:tcPr>
            <w:tcW w:w="729" w:type="pct"/>
            <w:shd w:val="clear" w:color="auto" w:fill="71213A"/>
            <w:vAlign w:val="center"/>
          </w:tcPr>
          <w:p w14:paraId="1716FE48" w14:textId="77777777" w:rsidR="00C03539" w:rsidRPr="004F3A69" w:rsidRDefault="00C03539" w:rsidP="006E3DCE">
            <w:pPr>
              <w:jc w:val="center"/>
              <w:rPr>
                <w:rFonts w:cstheme="minorHAnsi"/>
                <w:b/>
                <w:caps/>
                <w:color w:val="FFFFFF" w:themeColor="background1"/>
              </w:rPr>
            </w:pPr>
            <w:r w:rsidRPr="0039713A">
              <w:rPr>
                <w:rFonts w:cstheme="minorHAnsi"/>
                <w:b/>
                <w:caps/>
                <w:color w:val="FFFFFF" w:themeColor="background1"/>
              </w:rPr>
              <w:t>Specialist</w:t>
            </w:r>
          </w:p>
        </w:tc>
        <w:tc>
          <w:tcPr>
            <w:tcW w:w="1807" w:type="pct"/>
          </w:tcPr>
          <w:p w14:paraId="6825CC19" w14:textId="77777777" w:rsidR="00C03539" w:rsidRDefault="00C03539" w:rsidP="006E3DCE">
            <w:pPr>
              <w:jc w:val="both"/>
            </w:pPr>
            <w:r w:rsidRPr="007856B5">
              <w:rPr>
                <w:rFonts w:cstheme="minorHAnsi"/>
              </w:rPr>
              <w:t>The Contractor shall allow members receiving an active course of treatment, identified in the service plan, to treat a serious and chronic physical, developmental, or behavioral health condition to receive the services from their established provider for the duration of their treatment, or six months; whichever occurs first, regardless of whether or not the specialist participates in the Contractor’s provider network. Cases with extenuating circumstances will be resolved on a case by case basis.</w:t>
            </w:r>
          </w:p>
        </w:tc>
        <w:tc>
          <w:tcPr>
            <w:tcW w:w="1840" w:type="pct"/>
          </w:tcPr>
          <w:p w14:paraId="0D13C0EA" w14:textId="77777777" w:rsidR="00C03539" w:rsidRDefault="00C03539" w:rsidP="006E3DCE">
            <w:pPr>
              <w:jc w:val="both"/>
              <w:rPr>
                <w:rFonts w:cstheme="minorHAnsi"/>
              </w:rPr>
            </w:pPr>
            <w:r w:rsidRPr="007856B5">
              <w:rPr>
                <w:rFonts w:cstheme="minorHAnsi"/>
              </w:rPr>
              <w:t>The Contractor shall allow children receiving an active course of treatment, identified in the service plan, to treat a serious and chronic physical, developmental, or behavioral health condition to receive the services from their established provider for the duration of their treatment, or six months; whichever occurs first, regardless of whether or not the specialist participates in the Contractor’s provider network. Cases with extenuating circumstances will be resolved on a case by case basis.</w:t>
            </w:r>
          </w:p>
          <w:p w14:paraId="49DC7EB7" w14:textId="77777777" w:rsidR="00C03539" w:rsidRDefault="00C03539" w:rsidP="006E3DCE">
            <w:pPr>
              <w:jc w:val="both"/>
            </w:pPr>
          </w:p>
        </w:tc>
      </w:tr>
      <w:tr w:rsidR="00C03539" w14:paraId="7C324C7F" w14:textId="77777777" w:rsidTr="006E3DCE">
        <w:trPr>
          <w:cantSplit/>
        </w:trPr>
        <w:tc>
          <w:tcPr>
            <w:tcW w:w="624" w:type="pct"/>
            <w:shd w:val="clear" w:color="auto" w:fill="71213A"/>
            <w:vAlign w:val="center"/>
          </w:tcPr>
          <w:p w14:paraId="3B1E44A7" w14:textId="77777777" w:rsidR="00C03539" w:rsidRPr="0039713A" w:rsidRDefault="00C03539" w:rsidP="006E3DCE">
            <w:pPr>
              <w:jc w:val="center"/>
              <w:rPr>
                <w:rFonts w:cstheme="minorHAnsi"/>
                <w:b/>
                <w:caps/>
                <w:color w:val="FFFFFF" w:themeColor="background1"/>
              </w:rPr>
            </w:pPr>
            <w:r w:rsidRPr="0039713A">
              <w:rPr>
                <w:rFonts w:cstheme="minorHAnsi"/>
                <w:b/>
                <w:caps/>
                <w:color w:val="FFFFFF" w:themeColor="background1"/>
              </w:rPr>
              <w:t xml:space="preserve">Services Provided by any Provider who Meets the Definition of a Primary Care Provider </w:t>
            </w:r>
          </w:p>
        </w:tc>
        <w:tc>
          <w:tcPr>
            <w:tcW w:w="729" w:type="pct"/>
            <w:shd w:val="clear" w:color="auto" w:fill="71213A"/>
            <w:vAlign w:val="center"/>
          </w:tcPr>
          <w:p w14:paraId="133C9269" w14:textId="77777777" w:rsidR="00C03539" w:rsidRPr="0039713A" w:rsidRDefault="00C03539" w:rsidP="006E3DCE">
            <w:pPr>
              <w:jc w:val="center"/>
              <w:rPr>
                <w:rFonts w:cstheme="minorHAnsi"/>
                <w:b/>
                <w:caps/>
                <w:color w:val="FFFFFF" w:themeColor="background1"/>
              </w:rPr>
            </w:pPr>
            <w:r w:rsidRPr="0039713A">
              <w:rPr>
                <w:rFonts w:cstheme="minorHAnsi"/>
                <w:b/>
                <w:caps/>
                <w:color w:val="FFFFFF" w:themeColor="background1"/>
              </w:rPr>
              <w:t>PCP</w:t>
            </w:r>
          </w:p>
        </w:tc>
        <w:tc>
          <w:tcPr>
            <w:tcW w:w="1807" w:type="pct"/>
          </w:tcPr>
          <w:p w14:paraId="15C99486" w14:textId="77777777" w:rsidR="00C03539" w:rsidRDefault="00C03539" w:rsidP="006E3DCE">
            <w:pPr>
              <w:jc w:val="both"/>
            </w:pPr>
            <w:r w:rsidRPr="007856B5">
              <w:rPr>
                <w:rFonts w:cstheme="minorHAnsi"/>
              </w:rPr>
              <w:t>The Contractor shall provide, at a minimum, a 90-day transition period for members who have an established relationship with a PCP who does not participate in the Contractor’s provider network, during which the member may continue to seek care from their established PCP while the member, Contractor, and/or Contractor care manager finds an alternative PCP within the Contractor’s provider network.</w:t>
            </w:r>
            <w:r>
              <w:rPr>
                <w:rFonts w:cstheme="minorHAnsi"/>
              </w:rPr>
              <w:t xml:space="preserve">  </w:t>
            </w:r>
            <w:r w:rsidRPr="007856B5">
              <w:rPr>
                <w:rFonts w:cstheme="minorHAnsi"/>
              </w:rPr>
              <w:t>Refer to SMI and SED requirements above</w:t>
            </w:r>
            <w:r>
              <w:rPr>
                <w:rFonts w:cstheme="minorHAnsi"/>
              </w:rPr>
              <w:t>.</w:t>
            </w:r>
          </w:p>
        </w:tc>
        <w:tc>
          <w:tcPr>
            <w:tcW w:w="1840" w:type="pct"/>
          </w:tcPr>
          <w:p w14:paraId="71538C01" w14:textId="77777777" w:rsidR="00C03539" w:rsidRDefault="00C03539" w:rsidP="006E3DCE">
            <w:pPr>
              <w:jc w:val="both"/>
              <w:rPr>
                <w:rFonts w:cstheme="minorHAnsi"/>
              </w:rPr>
            </w:pPr>
            <w:r w:rsidRPr="007856B5">
              <w:rPr>
                <w:rFonts w:cstheme="minorHAnsi"/>
              </w:rPr>
              <w:t>The Contractor shall provide, at a minimum, a 90-day transition period, for children who have an established relationship with a PCP who does not participate in the Contractor’s provider network, during which the child may continue to seek care from their established PCP while the child and child’s parents and/or guardian, the Contractor, and/or Contractor care manager finds an alternative PCP within the Contractor’s provider network.</w:t>
            </w:r>
            <w:r>
              <w:rPr>
                <w:rFonts w:cstheme="minorHAnsi"/>
              </w:rPr>
              <w:t xml:space="preserve">  </w:t>
            </w:r>
            <w:r w:rsidRPr="007856B5">
              <w:rPr>
                <w:rFonts w:cstheme="minorHAnsi"/>
              </w:rPr>
              <w:t>Refer to SMI and SED requirements above</w:t>
            </w:r>
            <w:r>
              <w:rPr>
                <w:rFonts w:cstheme="minorHAnsi"/>
              </w:rPr>
              <w:t>.</w:t>
            </w:r>
          </w:p>
          <w:p w14:paraId="2D2EEC77" w14:textId="77777777" w:rsidR="00C03539" w:rsidRDefault="00C03539" w:rsidP="006E3DCE">
            <w:pPr>
              <w:jc w:val="both"/>
            </w:pPr>
          </w:p>
        </w:tc>
      </w:tr>
      <w:tr w:rsidR="00C03539" w14:paraId="204A6C99" w14:textId="77777777" w:rsidTr="006E3DCE">
        <w:trPr>
          <w:cantSplit/>
        </w:trPr>
        <w:tc>
          <w:tcPr>
            <w:tcW w:w="624" w:type="pct"/>
            <w:shd w:val="clear" w:color="auto" w:fill="71213A"/>
            <w:vAlign w:val="center"/>
          </w:tcPr>
          <w:p w14:paraId="30AD97FA" w14:textId="77777777" w:rsidR="00C03539" w:rsidRPr="0039713A" w:rsidRDefault="00C03539" w:rsidP="006E3DCE">
            <w:pPr>
              <w:jc w:val="center"/>
              <w:rPr>
                <w:rFonts w:cstheme="minorHAnsi"/>
                <w:b/>
                <w:caps/>
                <w:color w:val="FFFFFF" w:themeColor="background1"/>
              </w:rPr>
            </w:pPr>
            <w:r w:rsidRPr="0039713A">
              <w:rPr>
                <w:rFonts w:cstheme="minorHAnsi"/>
                <w:b/>
                <w:caps/>
                <w:color w:val="FFFFFF" w:themeColor="background1"/>
              </w:rPr>
              <w:t>Obstetrics</w:t>
            </w:r>
          </w:p>
        </w:tc>
        <w:tc>
          <w:tcPr>
            <w:tcW w:w="729" w:type="pct"/>
            <w:shd w:val="clear" w:color="auto" w:fill="71213A"/>
            <w:vAlign w:val="center"/>
          </w:tcPr>
          <w:p w14:paraId="0EAC24C5" w14:textId="77777777" w:rsidR="00C03539" w:rsidRPr="0039713A" w:rsidRDefault="00C03539" w:rsidP="006E3DCE">
            <w:pPr>
              <w:jc w:val="center"/>
              <w:rPr>
                <w:rFonts w:cstheme="minorHAnsi"/>
                <w:b/>
                <w:caps/>
                <w:color w:val="FFFFFF" w:themeColor="background1"/>
              </w:rPr>
            </w:pPr>
            <w:r w:rsidRPr="0039713A">
              <w:rPr>
                <w:rFonts w:cstheme="minorHAnsi"/>
                <w:b/>
                <w:caps/>
                <w:color w:val="FFFFFF" w:themeColor="background1"/>
              </w:rPr>
              <w:t>OB/GYN Specialist</w:t>
            </w:r>
          </w:p>
        </w:tc>
        <w:tc>
          <w:tcPr>
            <w:tcW w:w="1807" w:type="pct"/>
          </w:tcPr>
          <w:p w14:paraId="7D0B4FF6" w14:textId="77777777" w:rsidR="00C03539" w:rsidRDefault="00C03539" w:rsidP="006E3DCE">
            <w:pPr>
              <w:jc w:val="both"/>
              <w:rPr>
                <w:rFonts w:cstheme="minorHAnsi"/>
              </w:rPr>
            </w:pPr>
            <w:r w:rsidRPr="007856B5">
              <w:rPr>
                <w:rFonts w:cstheme="minorHAnsi"/>
              </w:rPr>
              <w:t>The Contractor shall ensure pregnant women in the third trimester or members anticipated to deliver within 30 days of transition are authorized to receive services from their OB provider and deliver at the chosen delivery site regardless of whether or not the specialist and/or hospital participates in the Contractor’s provider network to ensure continuity of care.</w:t>
            </w:r>
          </w:p>
          <w:p w14:paraId="36078BA0" w14:textId="77777777" w:rsidR="00C03539" w:rsidRDefault="00C03539" w:rsidP="006E3DCE">
            <w:pPr>
              <w:jc w:val="both"/>
            </w:pPr>
          </w:p>
        </w:tc>
        <w:tc>
          <w:tcPr>
            <w:tcW w:w="1840" w:type="pct"/>
          </w:tcPr>
          <w:p w14:paraId="5A844B52" w14:textId="77777777" w:rsidR="00C03539" w:rsidRDefault="00C03539" w:rsidP="006E3DCE">
            <w:pPr>
              <w:jc w:val="both"/>
            </w:pPr>
            <w:r w:rsidRPr="007856B5">
              <w:rPr>
                <w:rFonts w:cstheme="minorHAnsi"/>
              </w:rPr>
              <w:t>The Contractor shall ensure pregnant women in the third trimester or members anticipated to deliver within 30 days of transition are authorized to receive services from their OB provider and deliver at the chosen delivery site regardless of whether or not the specialist and/or hospital participates in the Contractor’s provider network to ensure continuity of care.</w:t>
            </w:r>
          </w:p>
        </w:tc>
      </w:tr>
    </w:tbl>
    <w:p w14:paraId="56EAF312" w14:textId="77777777" w:rsidR="003E4AB3" w:rsidRPr="007856B5" w:rsidRDefault="003E4AB3" w:rsidP="002736B0">
      <w:pPr>
        <w:spacing w:after="0" w:line="240" w:lineRule="auto"/>
        <w:jc w:val="both"/>
        <w:rPr>
          <w:rFonts w:cstheme="minorHAnsi"/>
        </w:rPr>
      </w:pPr>
    </w:p>
    <w:sectPr w:rsidR="003E4AB3" w:rsidRPr="007856B5" w:rsidSect="00A524E4">
      <w:headerReference w:type="default" r:id="rId11"/>
      <w:footerReference w:type="default" r:id="rId12"/>
      <w:pgSz w:w="15840" w:h="12240" w:orient="landscape"/>
      <w:pgMar w:top="1440" w:right="45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CBFF" w14:textId="77777777" w:rsidR="0037739E" w:rsidRDefault="0037739E" w:rsidP="006D1FF3">
      <w:pPr>
        <w:spacing w:after="0" w:line="240" w:lineRule="auto"/>
      </w:pPr>
      <w:r>
        <w:separator/>
      </w:r>
    </w:p>
  </w:endnote>
  <w:endnote w:type="continuationSeparator" w:id="0">
    <w:p w14:paraId="0122A011" w14:textId="77777777" w:rsidR="0037739E" w:rsidRDefault="0037739E" w:rsidP="006D1FF3">
      <w:pPr>
        <w:spacing w:after="0" w:line="240" w:lineRule="auto"/>
      </w:pPr>
      <w:r>
        <w:continuationSeparator/>
      </w:r>
    </w:p>
  </w:endnote>
  <w:endnote w:type="continuationNotice" w:id="1">
    <w:p w14:paraId="06200971" w14:textId="77777777" w:rsidR="0037739E" w:rsidRDefault="00377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A091" w14:textId="77777777" w:rsidR="00625321" w:rsidRDefault="00625321" w:rsidP="00625321">
    <w:pPr>
      <w:pStyle w:val="Footer"/>
      <w:tabs>
        <w:tab w:val="clear" w:pos="4680"/>
        <w:tab w:val="center" w:pos="4410"/>
      </w:tabs>
      <w:jc w:val="center"/>
      <w:rPr>
        <w:b/>
        <w:bCs/>
      </w:rPr>
    </w:pPr>
    <w:r>
      <w:rPr>
        <w:b/>
        <w:bCs/>
        <w:noProof/>
      </w:rPr>
      <mc:AlternateContent>
        <mc:Choice Requires="wps">
          <w:drawing>
            <wp:anchor distT="0" distB="0" distL="114300" distR="114300" simplePos="0" relativeHeight="251658240" behindDoc="0" locked="0" layoutInCell="1" allowOverlap="1" wp14:anchorId="581D4A3E" wp14:editId="5C258A8F">
              <wp:simplePos x="0" y="0"/>
              <wp:positionH relativeFrom="column">
                <wp:posOffset>3147</wp:posOffset>
              </wp:positionH>
              <wp:positionV relativeFrom="paragraph">
                <wp:posOffset>64880</wp:posOffset>
              </wp:positionV>
              <wp:extent cx="8910265" cy="33462"/>
              <wp:effectExtent l="19050" t="19050" r="24765" b="24130"/>
              <wp:wrapNone/>
              <wp:docPr id="2" name="Straight Connector 2"/>
              <wp:cNvGraphicFramePr/>
              <a:graphic xmlns:a="http://schemas.openxmlformats.org/drawingml/2006/main">
                <a:graphicData uri="http://schemas.microsoft.com/office/word/2010/wordprocessingShape">
                  <wps:wsp>
                    <wps:cNvCnPr/>
                    <wps:spPr>
                      <a:xfrm>
                        <a:off x="0" y="0"/>
                        <a:ext cx="8910265" cy="33462"/>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876F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1pt" to="70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" strokecolor="black [3040]" strokeweight="2.25pt"/>
          </w:pict>
        </mc:Fallback>
      </mc:AlternateContent>
    </w:r>
  </w:p>
  <w:p w14:paraId="393F9AAA" w14:textId="193407E6" w:rsidR="00625321" w:rsidRPr="00B76CA1" w:rsidRDefault="00625321" w:rsidP="00625321">
    <w:pPr>
      <w:pStyle w:val="Footer"/>
      <w:tabs>
        <w:tab w:val="clear" w:pos="4680"/>
        <w:tab w:val="center" w:pos="4410"/>
      </w:tabs>
      <w:jc w:val="center"/>
      <w:rPr>
        <w:b/>
        <w:bCs/>
      </w:rPr>
    </w:pPr>
    <w:r>
      <w:rPr>
        <w:b/>
        <w:bCs/>
      </w:rPr>
      <w:t>YH2</w:t>
    </w:r>
    <w:r w:rsidR="00F71E1F">
      <w:rPr>
        <w:b/>
        <w:bCs/>
      </w:rPr>
      <w:t>4</w:t>
    </w:r>
    <w:r>
      <w:rPr>
        <w:b/>
        <w:bCs/>
      </w:rPr>
      <w:t>-</w:t>
    </w:r>
    <w:r w:rsidR="00F71E1F">
      <w:rPr>
        <w:b/>
        <w:bCs/>
      </w:rPr>
      <w:t>0001</w:t>
    </w:r>
    <w:r>
      <w:rPr>
        <w:b/>
        <w:bCs/>
      </w:rPr>
      <w:t xml:space="preserve"> </w:t>
    </w:r>
    <w:r w:rsidRPr="00B76CA1">
      <w:rPr>
        <w:b/>
        <w:bCs/>
      </w:rPr>
      <w:t xml:space="preserve">– Page </w:t>
    </w:r>
    <w:r w:rsidRPr="00B76CA1">
      <w:rPr>
        <w:b/>
        <w:bCs/>
      </w:rPr>
      <w:fldChar w:fldCharType="begin"/>
    </w:r>
    <w:r w:rsidRPr="00B76CA1">
      <w:rPr>
        <w:b/>
        <w:bCs/>
      </w:rPr>
      <w:instrText xml:space="preserve"> PAGE  \* Arabic  \* MERGEFORMAT </w:instrText>
    </w:r>
    <w:r w:rsidRPr="00B76CA1">
      <w:rPr>
        <w:b/>
        <w:bCs/>
      </w:rPr>
      <w:fldChar w:fldCharType="separate"/>
    </w:r>
    <w:r>
      <w:rPr>
        <w:b/>
        <w:bCs/>
      </w:rPr>
      <w:t>3</w:t>
    </w:r>
    <w:r w:rsidRPr="00B76CA1">
      <w:rPr>
        <w:b/>
        <w:bCs/>
      </w:rPr>
      <w:fldChar w:fldCharType="end"/>
    </w:r>
    <w:r w:rsidRPr="00B76CA1">
      <w:rPr>
        <w:b/>
        <w:bCs/>
      </w:rPr>
      <w:t xml:space="preserve"> of </w:t>
    </w:r>
    <w:r w:rsidRPr="00B76CA1">
      <w:rPr>
        <w:b/>
        <w:bCs/>
      </w:rPr>
      <w:fldChar w:fldCharType="begin"/>
    </w:r>
    <w:r w:rsidRPr="00B76CA1">
      <w:rPr>
        <w:b/>
        <w:bCs/>
      </w:rPr>
      <w:instrText>NUMPAGES  \* Arabic  \* MERGEFORMAT</w:instrText>
    </w:r>
    <w:r w:rsidRPr="00B76CA1">
      <w:rPr>
        <w:b/>
        <w:bCs/>
      </w:rPr>
      <w:fldChar w:fldCharType="separate"/>
    </w:r>
    <w:r>
      <w:rPr>
        <w:b/>
        <w:bCs/>
      </w:rPr>
      <w:t>43</w:t>
    </w:r>
    <w:r w:rsidRPr="00B76CA1">
      <w:rPr>
        <w:b/>
        <w:bCs/>
        <w:noProof/>
      </w:rPr>
      <w:fldChar w:fldCharType="end"/>
    </w:r>
  </w:p>
  <w:p w14:paraId="38C80FF2" w14:textId="77777777" w:rsidR="00625321" w:rsidRDefault="0062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2273" w14:textId="77777777" w:rsidR="0037739E" w:rsidRDefault="0037739E" w:rsidP="006D1FF3">
      <w:pPr>
        <w:spacing w:after="0" w:line="240" w:lineRule="auto"/>
      </w:pPr>
      <w:r>
        <w:separator/>
      </w:r>
    </w:p>
  </w:footnote>
  <w:footnote w:type="continuationSeparator" w:id="0">
    <w:p w14:paraId="4B4AFB91" w14:textId="77777777" w:rsidR="0037739E" w:rsidRDefault="0037739E" w:rsidP="006D1FF3">
      <w:pPr>
        <w:spacing w:after="0" w:line="240" w:lineRule="auto"/>
      </w:pPr>
      <w:r>
        <w:continuationSeparator/>
      </w:r>
    </w:p>
  </w:footnote>
  <w:footnote w:type="continuationNotice" w:id="1">
    <w:p w14:paraId="588B5CF7" w14:textId="77777777" w:rsidR="0037739E" w:rsidRDefault="003773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6678" w14:textId="7758C8E5" w:rsidR="00443329" w:rsidRDefault="00443329" w:rsidP="00E13218">
    <w:pPr>
      <w:pStyle w:val="Header"/>
      <w:pBdr>
        <w:bottom w:val="thinThickSmallGap" w:sz="24" w:space="0" w:color="auto"/>
      </w:pBdr>
      <w:tabs>
        <w:tab w:val="right" w:pos="9180"/>
      </w:tabs>
      <w:rPr>
        <w:b/>
        <w:caps/>
      </w:rPr>
    </w:pPr>
    <w:bookmarkStart w:id="0" w:name="_Hlk99516978"/>
    <w:r w:rsidRPr="009F4400">
      <w:rPr>
        <w:rFonts w:ascii="Calibri" w:hAnsi="Calibri"/>
        <w:noProof/>
      </w:rPr>
      <w:drawing>
        <wp:inline distT="0" distB="0" distL="0" distR="0" wp14:anchorId="241FF354" wp14:editId="78C693FC">
          <wp:extent cx="2388870" cy="746125"/>
          <wp:effectExtent l="0" t="0" r="0" b="0"/>
          <wp:docPr id="1499273330" name="Picture 1499273330"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746125"/>
                  </a:xfrm>
                  <a:prstGeom prst="rect">
                    <a:avLst/>
                  </a:prstGeom>
                  <a:noFill/>
                </pic:spPr>
              </pic:pic>
            </a:graphicData>
          </a:graphic>
        </wp:inline>
      </w:drawing>
    </w:r>
    <w:bookmarkEnd w:id="0"/>
  </w:p>
  <w:p w14:paraId="2CB108E6" w14:textId="3207A16E" w:rsidR="008C02B5" w:rsidRPr="00BB778C" w:rsidRDefault="008C02B5" w:rsidP="00D97451">
    <w:pPr>
      <w:pStyle w:val="Header"/>
      <w:pBdr>
        <w:bottom w:val="thinThickSmallGap" w:sz="24" w:space="0" w:color="auto"/>
      </w:pBdr>
      <w:tabs>
        <w:tab w:val="right" w:pos="9180"/>
      </w:tabs>
      <w:jc w:val="center"/>
      <w:rPr>
        <w:b/>
        <w:caps/>
      </w:rPr>
    </w:pPr>
    <w:r w:rsidRPr="00BB778C">
      <w:rPr>
        <w:b/>
        <w:caps/>
      </w:rPr>
      <w:t>SECTION I:  EXHIBITS</w:t>
    </w:r>
  </w:p>
  <w:p w14:paraId="653E6C54" w14:textId="1FB9FD22" w:rsidR="00F03ED7" w:rsidRPr="00BB778C" w:rsidRDefault="005157BE" w:rsidP="001D0D99">
    <w:pPr>
      <w:pStyle w:val="Header"/>
      <w:pBdr>
        <w:bottom w:val="thinThickSmallGap" w:sz="24" w:space="0" w:color="auto"/>
      </w:pBdr>
      <w:tabs>
        <w:tab w:val="left" w:pos="7576"/>
      </w:tabs>
      <w:rPr>
        <w:b/>
        <w:caps/>
      </w:rPr>
    </w:pPr>
    <w:r w:rsidRPr="00BB778C">
      <w:rPr>
        <w:b/>
        <w:caps/>
      </w:rPr>
      <w:t xml:space="preserve">EXHIBIT </w:t>
    </w:r>
    <w:r w:rsidR="00BD7429">
      <w:rPr>
        <w:b/>
        <w:caps/>
      </w:rPr>
      <w:t>G</w:t>
    </w:r>
    <w:r w:rsidR="00F03ED7" w:rsidRPr="00BB778C">
      <w:rPr>
        <w:b/>
        <w:caps/>
      </w:rPr>
      <w:t xml:space="preserve">: </w:t>
    </w:r>
    <w:r w:rsidR="00ED2ADD" w:rsidRPr="00BB778C">
      <w:rPr>
        <w:b/>
        <w:caps/>
      </w:rPr>
      <w:t xml:space="preserve"> </w:t>
    </w:r>
    <w:r w:rsidR="008832DC" w:rsidRPr="00BB778C">
      <w:rPr>
        <w:b/>
        <w:caps/>
      </w:rPr>
      <w:t>TRANSITION REQUIREMENTS</w:t>
    </w:r>
    <w:r w:rsidR="00BB778C" w:rsidRPr="00BB778C">
      <w:rPr>
        <w:b/>
        <w:caps/>
      </w:rPr>
      <w:t xml:space="preserve"> </w:t>
    </w:r>
    <w:r w:rsidR="00BB778C">
      <w:rPr>
        <w:b/>
        <w:caps/>
      </w:rPr>
      <w:tab/>
    </w:r>
    <w:r w:rsidR="00BB778C">
      <w:rPr>
        <w:b/>
        <w:caps/>
      </w:rPr>
      <w:tab/>
    </w:r>
    <w:r w:rsidR="001D0D99">
      <w:rPr>
        <w:b/>
        <w:caps/>
      </w:rPr>
      <w:tab/>
    </w:r>
    <w:r w:rsidR="001D0D99">
      <w:rPr>
        <w:b/>
        <w:caps/>
      </w:rPr>
      <w:tab/>
      <w:t xml:space="preserve"> </w:t>
    </w:r>
    <w:r w:rsidR="001D0D99">
      <w:rPr>
        <w:b/>
        <w:caps/>
      </w:rPr>
      <w:tab/>
      <w:t xml:space="preserve">   </w:t>
    </w:r>
    <w:r w:rsidR="001D0D99">
      <w:rPr>
        <w:b/>
        <w:caps/>
      </w:rPr>
      <w:tab/>
      <w:t xml:space="preserve">             </w:t>
    </w:r>
    <w:r w:rsidR="00617C21">
      <w:rPr>
        <w:b/>
        <w:caps/>
      </w:rPr>
      <w:t>RFP</w:t>
    </w:r>
    <w:r w:rsidR="001056BA">
      <w:rPr>
        <w:b/>
        <w:caps/>
      </w:rPr>
      <w:t xml:space="preserve"> no. </w:t>
    </w:r>
    <w:r w:rsidR="001019D8">
      <w:rPr>
        <w:b/>
        <w:caps/>
      </w:rPr>
      <w:t>yh2</w:t>
    </w:r>
    <w:r w:rsidR="00BD7429">
      <w:rPr>
        <w:b/>
        <w:caps/>
      </w:rPr>
      <w:t>4</w:t>
    </w:r>
    <w:r w:rsidR="001019D8">
      <w:rPr>
        <w:b/>
        <w:caps/>
      </w:rPr>
      <w:t>-</w:t>
    </w:r>
    <w:r w:rsidR="00BD7429">
      <w:rPr>
        <w:b/>
        <w:caps/>
      </w:rPr>
      <w:t>0001</w:t>
    </w:r>
    <w:r w:rsidR="00081246">
      <w:rPr>
        <w:b/>
        <w: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1"/>
    <w:multiLevelType w:val="hybridMultilevel"/>
    <w:tmpl w:val="7460F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D6F0D"/>
    <w:multiLevelType w:val="hybridMultilevel"/>
    <w:tmpl w:val="50A2CD6C"/>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09F52F2B"/>
    <w:multiLevelType w:val="hybridMultilevel"/>
    <w:tmpl w:val="9A9AA982"/>
    <w:lvl w:ilvl="0" w:tplc="F6EA35BE">
      <w:start w:val="1"/>
      <w:numFmt w:val="lowerLetter"/>
      <w:lvlText w:val="%1."/>
      <w:lvlJc w:val="left"/>
      <w:pPr>
        <w:ind w:left="1440" w:hanging="360"/>
      </w:pPr>
    </w:lvl>
    <w:lvl w:ilvl="1" w:tplc="41221678">
      <w:start w:val="1"/>
      <w:numFmt w:val="lowerLetter"/>
      <w:lvlText w:val="%2."/>
      <w:lvlJc w:val="left"/>
      <w:pPr>
        <w:ind w:left="2160" w:hanging="360"/>
      </w:pPr>
    </w:lvl>
    <w:lvl w:ilvl="2" w:tplc="93022456">
      <w:start w:val="1"/>
      <w:numFmt w:val="lowerRoman"/>
      <w:lvlText w:val="%3."/>
      <w:lvlJc w:val="right"/>
      <w:pPr>
        <w:ind w:left="2880" w:hanging="360"/>
      </w:pPr>
    </w:lvl>
    <w:lvl w:ilvl="3" w:tplc="757ED07C">
      <w:start w:val="1"/>
      <w:numFmt w:val="lowerLetter"/>
      <w:lvlText w:val="%4."/>
      <w:lvlJc w:val="left"/>
      <w:pPr>
        <w:ind w:left="1440" w:hanging="360"/>
      </w:pPr>
    </w:lvl>
    <w:lvl w:ilvl="4" w:tplc="C05075C2">
      <w:start w:val="1"/>
      <w:numFmt w:val="lowerLetter"/>
      <w:lvlText w:val="%5."/>
      <w:lvlJc w:val="left"/>
      <w:pPr>
        <w:ind w:left="1440" w:hanging="360"/>
      </w:pPr>
    </w:lvl>
    <w:lvl w:ilvl="5" w:tplc="33F6AC44">
      <w:start w:val="1"/>
      <w:numFmt w:val="lowerLetter"/>
      <w:lvlText w:val="%6."/>
      <w:lvlJc w:val="left"/>
      <w:pPr>
        <w:ind w:left="1440" w:hanging="360"/>
      </w:pPr>
    </w:lvl>
    <w:lvl w:ilvl="6" w:tplc="1936B4EC">
      <w:start w:val="1"/>
      <w:numFmt w:val="lowerLetter"/>
      <w:lvlText w:val="%7."/>
      <w:lvlJc w:val="left"/>
      <w:pPr>
        <w:ind w:left="1440" w:hanging="360"/>
      </w:pPr>
    </w:lvl>
    <w:lvl w:ilvl="7" w:tplc="48F0AAE0">
      <w:start w:val="1"/>
      <w:numFmt w:val="lowerLetter"/>
      <w:lvlText w:val="%8."/>
      <w:lvlJc w:val="left"/>
      <w:pPr>
        <w:ind w:left="1440" w:hanging="360"/>
      </w:pPr>
    </w:lvl>
    <w:lvl w:ilvl="8" w:tplc="D6949C96">
      <w:start w:val="1"/>
      <w:numFmt w:val="lowerLetter"/>
      <w:lvlText w:val="%9."/>
      <w:lvlJc w:val="left"/>
      <w:pPr>
        <w:ind w:left="1440" w:hanging="360"/>
      </w:pPr>
    </w:lvl>
  </w:abstractNum>
  <w:abstractNum w:abstractNumId="3" w15:restartNumberingAfterBreak="0">
    <w:nsid w:val="3FE57B1E"/>
    <w:multiLevelType w:val="hybridMultilevel"/>
    <w:tmpl w:val="FE08FF18"/>
    <w:lvl w:ilvl="0" w:tplc="74485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33AC7"/>
    <w:multiLevelType w:val="hybridMultilevel"/>
    <w:tmpl w:val="3AE6D8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CB06B0"/>
    <w:multiLevelType w:val="hybridMultilevel"/>
    <w:tmpl w:val="38E0507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C65B5F"/>
    <w:multiLevelType w:val="hybridMultilevel"/>
    <w:tmpl w:val="493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529CF"/>
    <w:multiLevelType w:val="hybridMultilevel"/>
    <w:tmpl w:val="7460F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45656F"/>
    <w:multiLevelType w:val="hybridMultilevel"/>
    <w:tmpl w:val="487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F66A2"/>
    <w:multiLevelType w:val="hybridMultilevel"/>
    <w:tmpl w:val="9D9C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557E4"/>
    <w:multiLevelType w:val="hybridMultilevel"/>
    <w:tmpl w:val="0A0CC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27463"/>
    <w:multiLevelType w:val="hybridMultilevel"/>
    <w:tmpl w:val="91D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F61D3"/>
    <w:multiLevelType w:val="hybridMultilevel"/>
    <w:tmpl w:val="42669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394422">
    <w:abstractNumId w:val="0"/>
  </w:num>
  <w:num w:numId="2" w16cid:durableId="28378077">
    <w:abstractNumId w:val="4"/>
  </w:num>
  <w:num w:numId="3" w16cid:durableId="1129780532">
    <w:abstractNumId w:val="3"/>
  </w:num>
  <w:num w:numId="4" w16cid:durableId="503279122">
    <w:abstractNumId w:val="6"/>
  </w:num>
  <w:num w:numId="5" w16cid:durableId="741606905">
    <w:abstractNumId w:val="6"/>
  </w:num>
  <w:num w:numId="6" w16cid:durableId="1734084733">
    <w:abstractNumId w:val="7"/>
  </w:num>
  <w:num w:numId="7" w16cid:durableId="1143155071">
    <w:abstractNumId w:val="8"/>
  </w:num>
  <w:num w:numId="8" w16cid:durableId="380982212">
    <w:abstractNumId w:val="9"/>
  </w:num>
  <w:num w:numId="9" w16cid:durableId="1601063160">
    <w:abstractNumId w:val="12"/>
  </w:num>
  <w:num w:numId="10" w16cid:durableId="1001814496">
    <w:abstractNumId w:val="1"/>
  </w:num>
  <w:num w:numId="11" w16cid:durableId="1345665075">
    <w:abstractNumId w:val="5"/>
  </w:num>
  <w:num w:numId="12" w16cid:durableId="2096315516">
    <w:abstractNumId w:val="11"/>
  </w:num>
  <w:num w:numId="13" w16cid:durableId="1311132418">
    <w:abstractNumId w:val="10"/>
  </w:num>
  <w:num w:numId="14" w16cid:durableId="1181746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18"/>
    <w:rsid w:val="00002424"/>
    <w:rsid w:val="00002ACF"/>
    <w:rsid w:val="00002CE0"/>
    <w:rsid w:val="000048DA"/>
    <w:rsid w:val="00006CFD"/>
    <w:rsid w:val="00016387"/>
    <w:rsid w:val="0001745C"/>
    <w:rsid w:val="00017A29"/>
    <w:rsid w:val="0002010C"/>
    <w:rsid w:val="00020258"/>
    <w:rsid w:val="0002036F"/>
    <w:rsid w:val="000251FC"/>
    <w:rsid w:val="000263D9"/>
    <w:rsid w:val="0002784D"/>
    <w:rsid w:val="000314C8"/>
    <w:rsid w:val="00031525"/>
    <w:rsid w:val="00034CBE"/>
    <w:rsid w:val="00041FA6"/>
    <w:rsid w:val="00043972"/>
    <w:rsid w:val="00044065"/>
    <w:rsid w:val="00045C6B"/>
    <w:rsid w:val="000466EA"/>
    <w:rsid w:val="000511C7"/>
    <w:rsid w:val="000531AE"/>
    <w:rsid w:val="00054ECE"/>
    <w:rsid w:val="0005516C"/>
    <w:rsid w:val="00055F85"/>
    <w:rsid w:val="0006753D"/>
    <w:rsid w:val="00067667"/>
    <w:rsid w:val="000701CD"/>
    <w:rsid w:val="0007035F"/>
    <w:rsid w:val="00070880"/>
    <w:rsid w:val="000714B5"/>
    <w:rsid w:val="00074B02"/>
    <w:rsid w:val="00075061"/>
    <w:rsid w:val="00081246"/>
    <w:rsid w:val="00081FA4"/>
    <w:rsid w:val="00085317"/>
    <w:rsid w:val="0008630F"/>
    <w:rsid w:val="0008648C"/>
    <w:rsid w:val="00086FE0"/>
    <w:rsid w:val="00090D12"/>
    <w:rsid w:val="00091673"/>
    <w:rsid w:val="00092E1B"/>
    <w:rsid w:val="00094AB1"/>
    <w:rsid w:val="0009569C"/>
    <w:rsid w:val="00097D77"/>
    <w:rsid w:val="00097EC7"/>
    <w:rsid w:val="000A1D40"/>
    <w:rsid w:val="000A33C7"/>
    <w:rsid w:val="000A3E6E"/>
    <w:rsid w:val="000A564D"/>
    <w:rsid w:val="000A655E"/>
    <w:rsid w:val="000B31AC"/>
    <w:rsid w:val="000B3BFB"/>
    <w:rsid w:val="000B4769"/>
    <w:rsid w:val="000B5AAD"/>
    <w:rsid w:val="000C32F3"/>
    <w:rsid w:val="000C4F80"/>
    <w:rsid w:val="000C67FB"/>
    <w:rsid w:val="000C7D5C"/>
    <w:rsid w:val="000D049D"/>
    <w:rsid w:val="000D07DD"/>
    <w:rsid w:val="000D2756"/>
    <w:rsid w:val="000E19EE"/>
    <w:rsid w:val="000E27AA"/>
    <w:rsid w:val="000E43E6"/>
    <w:rsid w:val="000F1356"/>
    <w:rsid w:val="000F1615"/>
    <w:rsid w:val="000F2826"/>
    <w:rsid w:val="000F3B1B"/>
    <w:rsid w:val="000F51B0"/>
    <w:rsid w:val="001019D8"/>
    <w:rsid w:val="00102329"/>
    <w:rsid w:val="001056BA"/>
    <w:rsid w:val="0010617B"/>
    <w:rsid w:val="001062E7"/>
    <w:rsid w:val="00106E08"/>
    <w:rsid w:val="00115917"/>
    <w:rsid w:val="001201F0"/>
    <w:rsid w:val="00121933"/>
    <w:rsid w:val="00125B23"/>
    <w:rsid w:val="00136648"/>
    <w:rsid w:val="00136F77"/>
    <w:rsid w:val="001373E4"/>
    <w:rsid w:val="0014300C"/>
    <w:rsid w:val="00143169"/>
    <w:rsid w:val="00144458"/>
    <w:rsid w:val="00146BEC"/>
    <w:rsid w:val="00147F7B"/>
    <w:rsid w:val="00150C1B"/>
    <w:rsid w:val="001520ED"/>
    <w:rsid w:val="0015249C"/>
    <w:rsid w:val="001541D3"/>
    <w:rsid w:val="00155680"/>
    <w:rsid w:val="0015650E"/>
    <w:rsid w:val="00156BB9"/>
    <w:rsid w:val="00163763"/>
    <w:rsid w:val="00166331"/>
    <w:rsid w:val="0016695B"/>
    <w:rsid w:val="001670C8"/>
    <w:rsid w:val="00170003"/>
    <w:rsid w:val="00171097"/>
    <w:rsid w:val="00173964"/>
    <w:rsid w:val="00176130"/>
    <w:rsid w:val="00176289"/>
    <w:rsid w:val="00183361"/>
    <w:rsid w:val="0018380E"/>
    <w:rsid w:val="0018504C"/>
    <w:rsid w:val="00186B8D"/>
    <w:rsid w:val="00190A7C"/>
    <w:rsid w:val="00191263"/>
    <w:rsid w:val="00192AED"/>
    <w:rsid w:val="001937B3"/>
    <w:rsid w:val="00196618"/>
    <w:rsid w:val="00196F69"/>
    <w:rsid w:val="001A4EF0"/>
    <w:rsid w:val="001A5975"/>
    <w:rsid w:val="001A65C2"/>
    <w:rsid w:val="001A7C3C"/>
    <w:rsid w:val="001B19D2"/>
    <w:rsid w:val="001B1C79"/>
    <w:rsid w:val="001B40B7"/>
    <w:rsid w:val="001B5226"/>
    <w:rsid w:val="001B643E"/>
    <w:rsid w:val="001B6538"/>
    <w:rsid w:val="001B72A6"/>
    <w:rsid w:val="001C2F18"/>
    <w:rsid w:val="001C386D"/>
    <w:rsid w:val="001C5E96"/>
    <w:rsid w:val="001D0D99"/>
    <w:rsid w:val="001D1277"/>
    <w:rsid w:val="001D1A5C"/>
    <w:rsid w:val="001E2983"/>
    <w:rsid w:val="001E2AD5"/>
    <w:rsid w:val="001E324C"/>
    <w:rsid w:val="001E36FC"/>
    <w:rsid w:val="001E3746"/>
    <w:rsid w:val="001E4CEB"/>
    <w:rsid w:val="001E6353"/>
    <w:rsid w:val="001F7A9F"/>
    <w:rsid w:val="00202A78"/>
    <w:rsid w:val="0020410D"/>
    <w:rsid w:val="00204401"/>
    <w:rsid w:val="0020709D"/>
    <w:rsid w:val="00211345"/>
    <w:rsid w:val="00211F57"/>
    <w:rsid w:val="002134B0"/>
    <w:rsid w:val="002135CB"/>
    <w:rsid w:val="00214E29"/>
    <w:rsid w:val="00215D27"/>
    <w:rsid w:val="002168D9"/>
    <w:rsid w:val="0021730B"/>
    <w:rsid w:val="002175AD"/>
    <w:rsid w:val="002203D0"/>
    <w:rsid w:val="00220C81"/>
    <w:rsid w:val="002264AE"/>
    <w:rsid w:val="002277A9"/>
    <w:rsid w:val="0023460C"/>
    <w:rsid w:val="00240E1C"/>
    <w:rsid w:val="00244994"/>
    <w:rsid w:val="00245499"/>
    <w:rsid w:val="0024598C"/>
    <w:rsid w:val="00246D8D"/>
    <w:rsid w:val="00252FFB"/>
    <w:rsid w:val="00254CFF"/>
    <w:rsid w:val="0026197F"/>
    <w:rsid w:val="00263658"/>
    <w:rsid w:val="0026400B"/>
    <w:rsid w:val="00264DB1"/>
    <w:rsid w:val="00266A4C"/>
    <w:rsid w:val="002713FC"/>
    <w:rsid w:val="00272699"/>
    <w:rsid w:val="002736B0"/>
    <w:rsid w:val="00275737"/>
    <w:rsid w:val="0028162E"/>
    <w:rsid w:val="00283BE5"/>
    <w:rsid w:val="002845D3"/>
    <w:rsid w:val="00286EA3"/>
    <w:rsid w:val="00287697"/>
    <w:rsid w:val="00287C6A"/>
    <w:rsid w:val="002A2B19"/>
    <w:rsid w:val="002A33B8"/>
    <w:rsid w:val="002A7031"/>
    <w:rsid w:val="002A7E36"/>
    <w:rsid w:val="002B31DF"/>
    <w:rsid w:val="002B414E"/>
    <w:rsid w:val="002B69BD"/>
    <w:rsid w:val="002B7D8F"/>
    <w:rsid w:val="002C14EA"/>
    <w:rsid w:val="002C2B9E"/>
    <w:rsid w:val="002D0C90"/>
    <w:rsid w:val="002D1542"/>
    <w:rsid w:val="002D186B"/>
    <w:rsid w:val="002D1DA8"/>
    <w:rsid w:val="002D5569"/>
    <w:rsid w:val="002E2B4E"/>
    <w:rsid w:val="002F14AB"/>
    <w:rsid w:val="002F2147"/>
    <w:rsid w:val="002F2484"/>
    <w:rsid w:val="002F41C1"/>
    <w:rsid w:val="002F5BB9"/>
    <w:rsid w:val="00300D34"/>
    <w:rsid w:val="0031549A"/>
    <w:rsid w:val="0031720A"/>
    <w:rsid w:val="00317CCC"/>
    <w:rsid w:val="003222B7"/>
    <w:rsid w:val="00327263"/>
    <w:rsid w:val="0033012C"/>
    <w:rsid w:val="00330F8B"/>
    <w:rsid w:val="003331BE"/>
    <w:rsid w:val="00333570"/>
    <w:rsid w:val="003406B5"/>
    <w:rsid w:val="003422F2"/>
    <w:rsid w:val="0034385A"/>
    <w:rsid w:val="003512AD"/>
    <w:rsid w:val="00351726"/>
    <w:rsid w:val="00351D27"/>
    <w:rsid w:val="00353CD0"/>
    <w:rsid w:val="00355CF8"/>
    <w:rsid w:val="0036012E"/>
    <w:rsid w:val="00362440"/>
    <w:rsid w:val="00364A07"/>
    <w:rsid w:val="00366C5C"/>
    <w:rsid w:val="00367890"/>
    <w:rsid w:val="003715EA"/>
    <w:rsid w:val="00371758"/>
    <w:rsid w:val="003718BB"/>
    <w:rsid w:val="00377095"/>
    <w:rsid w:val="0037739E"/>
    <w:rsid w:val="00380E18"/>
    <w:rsid w:val="0038117A"/>
    <w:rsid w:val="003818A1"/>
    <w:rsid w:val="00381AB9"/>
    <w:rsid w:val="00383077"/>
    <w:rsid w:val="003868BD"/>
    <w:rsid w:val="003873BF"/>
    <w:rsid w:val="00394FBA"/>
    <w:rsid w:val="003955C6"/>
    <w:rsid w:val="003960FD"/>
    <w:rsid w:val="00396773"/>
    <w:rsid w:val="0039713A"/>
    <w:rsid w:val="003A3EB8"/>
    <w:rsid w:val="003A4254"/>
    <w:rsid w:val="003A78B7"/>
    <w:rsid w:val="003A7FC6"/>
    <w:rsid w:val="003B225F"/>
    <w:rsid w:val="003B592C"/>
    <w:rsid w:val="003B7750"/>
    <w:rsid w:val="003C0950"/>
    <w:rsid w:val="003C42E3"/>
    <w:rsid w:val="003C55E9"/>
    <w:rsid w:val="003C7BA7"/>
    <w:rsid w:val="003C7CD5"/>
    <w:rsid w:val="003D3B04"/>
    <w:rsid w:val="003D3BFF"/>
    <w:rsid w:val="003D5F69"/>
    <w:rsid w:val="003D750A"/>
    <w:rsid w:val="003E00B7"/>
    <w:rsid w:val="003E4AB3"/>
    <w:rsid w:val="003E5DFD"/>
    <w:rsid w:val="003E5FAE"/>
    <w:rsid w:val="003E73E2"/>
    <w:rsid w:val="003F1449"/>
    <w:rsid w:val="003F39FE"/>
    <w:rsid w:val="003F3E94"/>
    <w:rsid w:val="003F4474"/>
    <w:rsid w:val="003F47AE"/>
    <w:rsid w:val="003F4A01"/>
    <w:rsid w:val="003F6436"/>
    <w:rsid w:val="0040298C"/>
    <w:rsid w:val="00403A0C"/>
    <w:rsid w:val="004058DE"/>
    <w:rsid w:val="00406A79"/>
    <w:rsid w:val="00407254"/>
    <w:rsid w:val="00410381"/>
    <w:rsid w:val="00410EAE"/>
    <w:rsid w:val="00412FA3"/>
    <w:rsid w:val="004139BC"/>
    <w:rsid w:val="00413D44"/>
    <w:rsid w:val="00413F6A"/>
    <w:rsid w:val="004149AA"/>
    <w:rsid w:val="004209D1"/>
    <w:rsid w:val="00420B05"/>
    <w:rsid w:val="004278BD"/>
    <w:rsid w:val="004327DE"/>
    <w:rsid w:val="00435794"/>
    <w:rsid w:val="00441EB0"/>
    <w:rsid w:val="00443329"/>
    <w:rsid w:val="004433C6"/>
    <w:rsid w:val="0044385D"/>
    <w:rsid w:val="004462EA"/>
    <w:rsid w:val="00447842"/>
    <w:rsid w:val="004502D7"/>
    <w:rsid w:val="00457282"/>
    <w:rsid w:val="00460DEA"/>
    <w:rsid w:val="00460E33"/>
    <w:rsid w:val="00465AE3"/>
    <w:rsid w:val="00470138"/>
    <w:rsid w:val="004735BB"/>
    <w:rsid w:val="00474912"/>
    <w:rsid w:val="0047568E"/>
    <w:rsid w:val="0047635C"/>
    <w:rsid w:val="004838C9"/>
    <w:rsid w:val="00486AD0"/>
    <w:rsid w:val="004901A4"/>
    <w:rsid w:val="004916B1"/>
    <w:rsid w:val="0049684A"/>
    <w:rsid w:val="004A1B78"/>
    <w:rsid w:val="004A1C48"/>
    <w:rsid w:val="004A65B4"/>
    <w:rsid w:val="004B1110"/>
    <w:rsid w:val="004B3D1C"/>
    <w:rsid w:val="004C176E"/>
    <w:rsid w:val="004C34B8"/>
    <w:rsid w:val="004C3E53"/>
    <w:rsid w:val="004C4FF2"/>
    <w:rsid w:val="004C570C"/>
    <w:rsid w:val="004C782D"/>
    <w:rsid w:val="004C7E34"/>
    <w:rsid w:val="004E1492"/>
    <w:rsid w:val="004E178B"/>
    <w:rsid w:val="004E18E2"/>
    <w:rsid w:val="004E2B5F"/>
    <w:rsid w:val="004F2610"/>
    <w:rsid w:val="004F3428"/>
    <w:rsid w:val="004F6AAC"/>
    <w:rsid w:val="00500E0E"/>
    <w:rsid w:val="00505813"/>
    <w:rsid w:val="00511A2D"/>
    <w:rsid w:val="0051264B"/>
    <w:rsid w:val="00513662"/>
    <w:rsid w:val="005157BE"/>
    <w:rsid w:val="00516866"/>
    <w:rsid w:val="0051736B"/>
    <w:rsid w:val="0052101C"/>
    <w:rsid w:val="00522D93"/>
    <w:rsid w:val="00524916"/>
    <w:rsid w:val="00526420"/>
    <w:rsid w:val="00526D96"/>
    <w:rsid w:val="00531374"/>
    <w:rsid w:val="00533F86"/>
    <w:rsid w:val="005354A3"/>
    <w:rsid w:val="0054455E"/>
    <w:rsid w:val="00544EAA"/>
    <w:rsid w:val="0054611B"/>
    <w:rsid w:val="00552A93"/>
    <w:rsid w:val="005540BE"/>
    <w:rsid w:val="005548EF"/>
    <w:rsid w:val="0055536A"/>
    <w:rsid w:val="00563B0E"/>
    <w:rsid w:val="00565044"/>
    <w:rsid w:val="00565A2F"/>
    <w:rsid w:val="00565F47"/>
    <w:rsid w:val="00566E75"/>
    <w:rsid w:val="005733E4"/>
    <w:rsid w:val="005753D4"/>
    <w:rsid w:val="00577F01"/>
    <w:rsid w:val="00580765"/>
    <w:rsid w:val="00584C2A"/>
    <w:rsid w:val="00585083"/>
    <w:rsid w:val="0058775C"/>
    <w:rsid w:val="005946F4"/>
    <w:rsid w:val="005A0070"/>
    <w:rsid w:val="005A0816"/>
    <w:rsid w:val="005A2772"/>
    <w:rsid w:val="005A3DAB"/>
    <w:rsid w:val="005A6B34"/>
    <w:rsid w:val="005B1A86"/>
    <w:rsid w:val="005B622D"/>
    <w:rsid w:val="005C0BBA"/>
    <w:rsid w:val="005C11B0"/>
    <w:rsid w:val="005C4E15"/>
    <w:rsid w:val="005C6BC1"/>
    <w:rsid w:val="005C7500"/>
    <w:rsid w:val="005D1D88"/>
    <w:rsid w:val="005D33F8"/>
    <w:rsid w:val="005D4D2F"/>
    <w:rsid w:val="005D6FE8"/>
    <w:rsid w:val="005E1A2B"/>
    <w:rsid w:val="005E2DD5"/>
    <w:rsid w:val="005F123D"/>
    <w:rsid w:val="005F1874"/>
    <w:rsid w:val="005F264C"/>
    <w:rsid w:val="005F2B77"/>
    <w:rsid w:val="005F2EC3"/>
    <w:rsid w:val="005F6522"/>
    <w:rsid w:val="005F6A97"/>
    <w:rsid w:val="00604013"/>
    <w:rsid w:val="00605426"/>
    <w:rsid w:val="00607174"/>
    <w:rsid w:val="0061218C"/>
    <w:rsid w:val="006135A9"/>
    <w:rsid w:val="00613FEA"/>
    <w:rsid w:val="00615D8C"/>
    <w:rsid w:val="00617C21"/>
    <w:rsid w:val="0062045E"/>
    <w:rsid w:val="00622943"/>
    <w:rsid w:val="00625321"/>
    <w:rsid w:val="0063051C"/>
    <w:rsid w:val="00632E7A"/>
    <w:rsid w:val="00635BC5"/>
    <w:rsid w:val="00640960"/>
    <w:rsid w:val="0064226F"/>
    <w:rsid w:val="00642652"/>
    <w:rsid w:val="00643E47"/>
    <w:rsid w:val="006451E2"/>
    <w:rsid w:val="0065153D"/>
    <w:rsid w:val="00652ED0"/>
    <w:rsid w:val="00657752"/>
    <w:rsid w:val="006656C0"/>
    <w:rsid w:val="006714F1"/>
    <w:rsid w:val="00675AA0"/>
    <w:rsid w:val="0068216E"/>
    <w:rsid w:val="00683A8E"/>
    <w:rsid w:val="00684537"/>
    <w:rsid w:val="00684A2D"/>
    <w:rsid w:val="00685798"/>
    <w:rsid w:val="00690C23"/>
    <w:rsid w:val="00692F76"/>
    <w:rsid w:val="006932AE"/>
    <w:rsid w:val="006952AE"/>
    <w:rsid w:val="00695DE2"/>
    <w:rsid w:val="00695E95"/>
    <w:rsid w:val="00696264"/>
    <w:rsid w:val="006A2277"/>
    <w:rsid w:val="006A2D52"/>
    <w:rsid w:val="006A3B57"/>
    <w:rsid w:val="006A656A"/>
    <w:rsid w:val="006B0B39"/>
    <w:rsid w:val="006B301E"/>
    <w:rsid w:val="006B3A8F"/>
    <w:rsid w:val="006B3EE0"/>
    <w:rsid w:val="006B4140"/>
    <w:rsid w:val="006B6862"/>
    <w:rsid w:val="006B7A25"/>
    <w:rsid w:val="006C0509"/>
    <w:rsid w:val="006C1F0E"/>
    <w:rsid w:val="006C23D5"/>
    <w:rsid w:val="006C2F2A"/>
    <w:rsid w:val="006C7903"/>
    <w:rsid w:val="006D1FF3"/>
    <w:rsid w:val="006D48A8"/>
    <w:rsid w:val="006D49B2"/>
    <w:rsid w:val="006D5C0D"/>
    <w:rsid w:val="006D6AAA"/>
    <w:rsid w:val="006D6C27"/>
    <w:rsid w:val="006D6D06"/>
    <w:rsid w:val="006E4393"/>
    <w:rsid w:val="006F0476"/>
    <w:rsid w:val="006F1040"/>
    <w:rsid w:val="006F2185"/>
    <w:rsid w:val="006F742C"/>
    <w:rsid w:val="006F76DE"/>
    <w:rsid w:val="00700C26"/>
    <w:rsid w:val="007024FF"/>
    <w:rsid w:val="00710FEC"/>
    <w:rsid w:val="00711179"/>
    <w:rsid w:val="00711D90"/>
    <w:rsid w:val="00720945"/>
    <w:rsid w:val="0072191D"/>
    <w:rsid w:val="00724374"/>
    <w:rsid w:val="00724B24"/>
    <w:rsid w:val="00726A9F"/>
    <w:rsid w:val="007341A2"/>
    <w:rsid w:val="00734CE8"/>
    <w:rsid w:val="00737DCF"/>
    <w:rsid w:val="00744EF7"/>
    <w:rsid w:val="0074566F"/>
    <w:rsid w:val="00747261"/>
    <w:rsid w:val="00750C81"/>
    <w:rsid w:val="007510E3"/>
    <w:rsid w:val="007519CE"/>
    <w:rsid w:val="007549B7"/>
    <w:rsid w:val="00754C61"/>
    <w:rsid w:val="0076036A"/>
    <w:rsid w:val="00775A83"/>
    <w:rsid w:val="00775C89"/>
    <w:rsid w:val="007760DA"/>
    <w:rsid w:val="00782146"/>
    <w:rsid w:val="00784341"/>
    <w:rsid w:val="0078442A"/>
    <w:rsid w:val="007856B5"/>
    <w:rsid w:val="00786DD2"/>
    <w:rsid w:val="007917FF"/>
    <w:rsid w:val="00792E25"/>
    <w:rsid w:val="007954AF"/>
    <w:rsid w:val="007958A2"/>
    <w:rsid w:val="00796293"/>
    <w:rsid w:val="007A1250"/>
    <w:rsid w:val="007A159B"/>
    <w:rsid w:val="007A2F54"/>
    <w:rsid w:val="007A31DF"/>
    <w:rsid w:val="007A5767"/>
    <w:rsid w:val="007A5A3C"/>
    <w:rsid w:val="007A6CFB"/>
    <w:rsid w:val="007B00C3"/>
    <w:rsid w:val="007B0212"/>
    <w:rsid w:val="007B0653"/>
    <w:rsid w:val="007B1740"/>
    <w:rsid w:val="007B2E16"/>
    <w:rsid w:val="007B3E8C"/>
    <w:rsid w:val="007B51CF"/>
    <w:rsid w:val="007B5310"/>
    <w:rsid w:val="007C082D"/>
    <w:rsid w:val="007C1B36"/>
    <w:rsid w:val="007C1BED"/>
    <w:rsid w:val="007C674F"/>
    <w:rsid w:val="007D080E"/>
    <w:rsid w:val="007D1C51"/>
    <w:rsid w:val="007D600D"/>
    <w:rsid w:val="007E0A8C"/>
    <w:rsid w:val="007E1414"/>
    <w:rsid w:val="007E1D1F"/>
    <w:rsid w:val="007E2522"/>
    <w:rsid w:val="007E3B4F"/>
    <w:rsid w:val="007E6C38"/>
    <w:rsid w:val="007F0530"/>
    <w:rsid w:val="007F19C0"/>
    <w:rsid w:val="007F2211"/>
    <w:rsid w:val="007F34FA"/>
    <w:rsid w:val="007F4B1C"/>
    <w:rsid w:val="007F6EA2"/>
    <w:rsid w:val="0080158F"/>
    <w:rsid w:val="00804130"/>
    <w:rsid w:val="00804154"/>
    <w:rsid w:val="0080621D"/>
    <w:rsid w:val="00815495"/>
    <w:rsid w:val="00817AF8"/>
    <w:rsid w:val="00820FBC"/>
    <w:rsid w:val="00824679"/>
    <w:rsid w:val="00830E54"/>
    <w:rsid w:val="00831221"/>
    <w:rsid w:val="00831B6B"/>
    <w:rsid w:val="00831D4F"/>
    <w:rsid w:val="0083510B"/>
    <w:rsid w:val="008352C7"/>
    <w:rsid w:val="0084102C"/>
    <w:rsid w:val="008411F2"/>
    <w:rsid w:val="00842D45"/>
    <w:rsid w:val="00842FBF"/>
    <w:rsid w:val="00844588"/>
    <w:rsid w:val="00845B9A"/>
    <w:rsid w:val="008464B4"/>
    <w:rsid w:val="00846CCB"/>
    <w:rsid w:val="008537B8"/>
    <w:rsid w:val="00856110"/>
    <w:rsid w:val="00856419"/>
    <w:rsid w:val="00857D5C"/>
    <w:rsid w:val="00862B60"/>
    <w:rsid w:val="0086318B"/>
    <w:rsid w:val="00863B47"/>
    <w:rsid w:val="008723CB"/>
    <w:rsid w:val="008729E3"/>
    <w:rsid w:val="00872C23"/>
    <w:rsid w:val="008759F2"/>
    <w:rsid w:val="00875AAA"/>
    <w:rsid w:val="00875BA8"/>
    <w:rsid w:val="00876BD1"/>
    <w:rsid w:val="00880CDA"/>
    <w:rsid w:val="008832DC"/>
    <w:rsid w:val="00883327"/>
    <w:rsid w:val="00885EFB"/>
    <w:rsid w:val="008860C2"/>
    <w:rsid w:val="0089031A"/>
    <w:rsid w:val="00896D9E"/>
    <w:rsid w:val="00897488"/>
    <w:rsid w:val="008A419B"/>
    <w:rsid w:val="008A63FF"/>
    <w:rsid w:val="008A6751"/>
    <w:rsid w:val="008A79E8"/>
    <w:rsid w:val="008B2641"/>
    <w:rsid w:val="008B4CCD"/>
    <w:rsid w:val="008B5FDB"/>
    <w:rsid w:val="008B6420"/>
    <w:rsid w:val="008B6D30"/>
    <w:rsid w:val="008B7528"/>
    <w:rsid w:val="008C02B5"/>
    <w:rsid w:val="008C0A43"/>
    <w:rsid w:val="008C1E94"/>
    <w:rsid w:val="008C53BB"/>
    <w:rsid w:val="008C590A"/>
    <w:rsid w:val="008D1518"/>
    <w:rsid w:val="008E015D"/>
    <w:rsid w:val="008E44A2"/>
    <w:rsid w:val="008E4546"/>
    <w:rsid w:val="008F4AF2"/>
    <w:rsid w:val="008F6389"/>
    <w:rsid w:val="00900518"/>
    <w:rsid w:val="0090488D"/>
    <w:rsid w:val="00906B2D"/>
    <w:rsid w:val="00907216"/>
    <w:rsid w:val="00911A0D"/>
    <w:rsid w:val="00912EF1"/>
    <w:rsid w:val="00916BC1"/>
    <w:rsid w:val="00923D57"/>
    <w:rsid w:val="00924132"/>
    <w:rsid w:val="00925275"/>
    <w:rsid w:val="00927448"/>
    <w:rsid w:val="0092793D"/>
    <w:rsid w:val="00930267"/>
    <w:rsid w:val="00930588"/>
    <w:rsid w:val="00930BE0"/>
    <w:rsid w:val="00933FAB"/>
    <w:rsid w:val="00936B70"/>
    <w:rsid w:val="00942D65"/>
    <w:rsid w:val="009431B1"/>
    <w:rsid w:val="009501CC"/>
    <w:rsid w:val="00951081"/>
    <w:rsid w:val="009517B2"/>
    <w:rsid w:val="009529E5"/>
    <w:rsid w:val="00952DD2"/>
    <w:rsid w:val="009540B9"/>
    <w:rsid w:val="00957059"/>
    <w:rsid w:val="00960BDE"/>
    <w:rsid w:val="00960E69"/>
    <w:rsid w:val="0096178F"/>
    <w:rsid w:val="00961816"/>
    <w:rsid w:val="00964040"/>
    <w:rsid w:val="00967808"/>
    <w:rsid w:val="00973B61"/>
    <w:rsid w:val="00973F3C"/>
    <w:rsid w:val="00975568"/>
    <w:rsid w:val="00977B4B"/>
    <w:rsid w:val="00980250"/>
    <w:rsid w:val="00982823"/>
    <w:rsid w:val="00983A4A"/>
    <w:rsid w:val="00984AB7"/>
    <w:rsid w:val="00986C56"/>
    <w:rsid w:val="00987909"/>
    <w:rsid w:val="0099006D"/>
    <w:rsid w:val="00992EEF"/>
    <w:rsid w:val="009A2206"/>
    <w:rsid w:val="009A2D9A"/>
    <w:rsid w:val="009A5754"/>
    <w:rsid w:val="009A7835"/>
    <w:rsid w:val="009B1713"/>
    <w:rsid w:val="009B4A03"/>
    <w:rsid w:val="009B4E5C"/>
    <w:rsid w:val="009B7052"/>
    <w:rsid w:val="009C1F4D"/>
    <w:rsid w:val="009C4FBE"/>
    <w:rsid w:val="009D06B7"/>
    <w:rsid w:val="009D1385"/>
    <w:rsid w:val="009D4502"/>
    <w:rsid w:val="009E11C8"/>
    <w:rsid w:val="009E1E97"/>
    <w:rsid w:val="009E45FF"/>
    <w:rsid w:val="009E5DC6"/>
    <w:rsid w:val="009F3CCC"/>
    <w:rsid w:val="00A069B0"/>
    <w:rsid w:val="00A16596"/>
    <w:rsid w:val="00A20DE5"/>
    <w:rsid w:val="00A213AF"/>
    <w:rsid w:val="00A2212F"/>
    <w:rsid w:val="00A230F5"/>
    <w:rsid w:val="00A2386D"/>
    <w:rsid w:val="00A23B74"/>
    <w:rsid w:val="00A2524B"/>
    <w:rsid w:val="00A2614B"/>
    <w:rsid w:val="00A26439"/>
    <w:rsid w:val="00A27EB9"/>
    <w:rsid w:val="00A31E25"/>
    <w:rsid w:val="00A352F3"/>
    <w:rsid w:val="00A35398"/>
    <w:rsid w:val="00A35FE9"/>
    <w:rsid w:val="00A37291"/>
    <w:rsid w:val="00A40898"/>
    <w:rsid w:val="00A413B8"/>
    <w:rsid w:val="00A43CE1"/>
    <w:rsid w:val="00A4442C"/>
    <w:rsid w:val="00A47D1F"/>
    <w:rsid w:val="00A508E4"/>
    <w:rsid w:val="00A524E4"/>
    <w:rsid w:val="00A52C96"/>
    <w:rsid w:val="00A5764C"/>
    <w:rsid w:val="00A6025C"/>
    <w:rsid w:val="00A648F3"/>
    <w:rsid w:val="00A65281"/>
    <w:rsid w:val="00A80745"/>
    <w:rsid w:val="00A82D80"/>
    <w:rsid w:val="00A843B8"/>
    <w:rsid w:val="00A8671F"/>
    <w:rsid w:val="00A9071C"/>
    <w:rsid w:val="00A91835"/>
    <w:rsid w:val="00AA15DE"/>
    <w:rsid w:val="00AA27C9"/>
    <w:rsid w:val="00AA3CFF"/>
    <w:rsid w:val="00AA44C1"/>
    <w:rsid w:val="00AA4B85"/>
    <w:rsid w:val="00AA629D"/>
    <w:rsid w:val="00AA6BB1"/>
    <w:rsid w:val="00AB4A66"/>
    <w:rsid w:val="00AB5922"/>
    <w:rsid w:val="00AB763C"/>
    <w:rsid w:val="00AC1743"/>
    <w:rsid w:val="00AC28C8"/>
    <w:rsid w:val="00AC5C6E"/>
    <w:rsid w:val="00AC71E9"/>
    <w:rsid w:val="00AC7A73"/>
    <w:rsid w:val="00AD299E"/>
    <w:rsid w:val="00AE1D2C"/>
    <w:rsid w:val="00AE1E79"/>
    <w:rsid w:val="00AE1EAB"/>
    <w:rsid w:val="00AE4463"/>
    <w:rsid w:val="00AE4790"/>
    <w:rsid w:val="00AF04F8"/>
    <w:rsid w:val="00AF0886"/>
    <w:rsid w:val="00AF1424"/>
    <w:rsid w:val="00AF1952"/>
    <w:rsid w:val="00AF4A7C"/>
    <w:rsid w:val="00B00BF4"/>
    <w:rsid w:val="00B00E1F"/>
    <w:rsid w:val="00B0358C"/>
    <w:rsid w:val="00B050CD"/>
    <w:rsid w:val="00B07A89"/>
    <w:rsid w:val="00B13C58"/>
    <w:rsid w:val="00B1711A"/>
    <w:rsid w:val="00B17DFE"/>
    <w:rsid w:val="00B2023E"/>
    <w:rsid w:val="00B21C39"/>
    <w:rsid w:val="00B23D9F"/>
    <w:rsid w:val="00B24AEA"/>
    <w:rsid w:val="00B25766"/>
    <w:rsid w:val="00B2740D"/>
    <w:rsid w:val="00B300F2"/>
    <w:rsid w:val="00B3276E"/>
    <w:rsid w:val="00B330D5"/>
    <w:rsid w:val="00B33777"/>
    <w:rsid w:val="00B33988"/>
    <w:rsid w:val="00B33EDB"/>
    <w:rsid w:val="00B35D52"/>
    <w:rsid w:val="00B402F1"/>
    <w:rsid w:val="00B40644"/>
    <w:rsid w:val="00B43A9F"/>
    <w:rsid w:val="00B51C7D"/>
    <w:rsid w:val="00B52886"/>
    <w:rsid w:val="00B55556"/>
    <w:rsid w:val="00B600FC"/>
    <w:rsid w:val="00B60A58"/>
    <w:rsid w:val="00B62FA8"/>
    <w:rsid w:val="00B63F00"/>
    <w:rsid w:val="00B652A8"/>
    <w:rsid w:val="00B70309"/>
    <w:rsid w:val="00B7097A"/>
    <w:rsid w:val="00B7219D"/>
    <w:rsid w:val="00B722C1"/>
    <w:rsid w:val="00B77392"/>
    <w:rsid w:val="00B81B4B"/>
    <w:rsid w:val="00B82C0D"/>
    <w:rsid w:val="00B87904"/>
    <w:rsid w:val="00B90988"/>
    <w:rsid w:val="00B91D19"/>
    <w:rsid w:val="00B91DC5"/>
    <w:rsid w:val="00B95F5F"/>
    <w:rsid w:val="00BA0001"/>
    <w:rsid w:val="00BA04D2"/>
    <w:rsid w:val="00BA3570"/>
    <w:rsid w:val="00BA625E"/>
    <w:rsid w:val="00BA7B6F"/>
    <w:rsid w:val="00BB1B79"/>
    <w:rsid w:val="00BB2322"/>
    <w:rsid w:val="00BB778C"/>
    <w:rsid w:val="00BB782C"/>
    <w:rsid w:val="00BB7945"/>
    <w:rsid w:val="00BC1FDA"/>
    <w:rsid w:val="00BC31DE"/>
    <w:rsid w:val="00BC53B4"/>
    <w:rsid w:val="00BC6427"/>
    <w:rsid w:val="00BD2428"/>
    <w:rsid w:val="00BD415D"/>
    <w:rsid w:val="00BD7429"/>
    <w:rsid w:val="00BD77B9"/>
    <w:rsid w:val="00BE1E92"/>
    <w:rsid w:val="00BE2146"/>
    <w:rsid w:val="00BE2285"/>
    <w:rsid w:val="00BE2E7D"/>
    <w:rsid w:val="00BE5546"/>
    <w:rsid w:val="00BE6C79"/>
    <w:rsid w:val="00BE7C72"/>
    <w:rsid w:val="00BF14D6"/>
    <w:rsid w:val="00C003BE"/>
    <w:rsid w:val="00C00861"/>
    <w:rsid w:val="00C01317"/>
    <w:rsid w:val="00C01A2D"/>
    <w:rsid w:val="00C02770"/>
    <w:rsid w:val="00C03539"/>
    <w:rsid w:val="00C1197A"/>
    <w:rsid w:val="00C14085"/>
    <w:rsid w:val="00C15BAB"/>
    <w:rsid w:val="00C207B2"/>
    <w:rsid w:val="00C21B4B"/>
    <w:rsid w:val="00C230A8"/>
    <w:rsid w:val="00C31B35"/>
    <w:rsid w:val="00C37979"/>
    <w:rsid w:val="00C405FB"/>
    <w:rsid w:val="00C44F3B"/>
    <w:rsid w:val="00C45639"/>
    <w:rsid w:val="00C50C43"/>
    <w:rsid w:val="00C50F08"/>
    <w:rsid w:val="00C534CC"/>
    <w:rsid w:val="00C54615"/>
    <w:rsid w:val="00C57759"/>
    <w:rsid w:val="00C57C7D"/>
    <w:rsid w:val="00C65CF4"/>
    <w:rsid w:val="00C7236F"/>
    <w:rsid w:val="00C74294"/>
    <w:rsid w:val="00C77989"/>
    <w:rsid w:val="00C77B64"/>
    <w:rsid w:val="00C8346B"/>
    <w:rsid w:val="00C875F8"/>
    <w:rsid w:val="00C90BE2"/>
    <w:rsid w:val="00C94D1A"/>
    <w:rsid w:val="00C96488"/>
    <w:rsid w:val="00C9662F"/>
    <w:rsid w:val="00C96EA0"/>
    <w:rsid w:val="00CA4B7F"/>
    <w:rsid w:val="00CB16D7"/>
    <w:rsid w:val="00CB2DD4"/>
    <w:rsid w:val="00CB3CCE"/>
    <w:rsid w:val="00CB4172"/>
    <w:rsid w:val="00CB703B"/>
    <w:rsid w:val="00CB7F56"/>
    <w:rsid w:val="00CC7E44"/>
    <w:rsid w:val="00CD09D0"/>
    <w:rsid w:val="00CD138A"/>
    <w:rsid w:val="00CD1BB6"/>
    <w:rsid w:val="00CD218D"/>
    <w:rsid w:val="00CD2B98"/>
    <w:rsid w:val="00CD486B"/>
    <w:rsid w:val="00CD4EA7"/>
    <w:rsid w:val="00CE25E7"/>
    <w:rsid w:val="00CE2F8B"/>
    <w:rsid w:val="00CE35E2"/>
    <w:rsid w:val="00CE3FB2"/>
    <w:rsid w:val="00CE4F4A"/>
    <w:rsid w:val="00CE552C"/>
    <w:rsid w:val="00CE6EA1"/>
    <w:rsid w:val="00CE75AE"/>
    <w:rsid w:val="00CF3C31"/>
    <w:rsid w:val="00CF413E"/>
    <w:rsid w:val="00D07D6D"/>
    <w:rsid w:val="00D11308"/>
    <w:rsid w:val="00D13A46"/>
    <w:rsid w:val="00D13C5A"/>
    <w:rsid w:val="00D15FC8"/>
    <w:rsid w:val="00D277A4"/>
    <w:rsid w:val="00D31DA8"/>
    <w:rsid w:val="00D31E86"/>
    <w:rsid w:val="00D358CD"/>
    <w:rsid w:val="00D35B3C"/>
    <w:rsid w:val="00D41BE1"/>
    <w:rsid w:val="00D511C8"/>
    <w:rsid w:val="00D513EC"/>
    <w:rsid w:val="00D52B0D"/>
    <w:rsid w:val="00D5362E"/>
    <w:rsid w:val="00D54584"/>
    <w:rsid w:val="00D55FA6"/>
    <w:rsid w:val="00D573C3"/>
    <w:rsid w:val="00D57E9A"/>
    <w:rsid w:val="00D62ABA"/>
    <w:rsid w:val="00D649AB"/>
    <w:rsid w:val="00D65CB1"/>
    <w:rsid w:val="00D71D4F"/>
    <w:rsid w:val="00D728F4"/>
    <w:rsid w:val="00D73248"/>
    <w:rsid w:val="00D755DE"/>
    <w:rsid w:val="00D774CE"/>
    <w:rsid w:val="00D77909"/>
    <w:rsid w:val="00D81A2E"/>
    <w:rsid w:val="00D85711"/>
    <w:rsid w:val="00D940B0"/>
    <w:rsid w:val="00D94DB1"/>
    <w:rsid w:val="00D96C7A"/>
    <w:rsid w:val="00D97451"/>
    <w:rsid w:val="00D97D64"/>
    <w:rsid w:val="00DA1589"/>
    <w:rsid w:val="00DB0329"/>
    <w:rsid w:val="00DB3EA8"/>
    <w:rsid w:val="00DB475A"/>
    <w:rsid w:val="00DB4D36"/>
    <w:rsid w:val="00DB55A7"/>
    <w:rsid w:val="00DB7FD8"/>
    <w:rsid w:val="00DC0104"/>
    <w:rsid w:val="00DC1F76"/>
    <w:rsid w:val="00DC229A"/>
    <w:rsid w:val="00DC24BA"/>
    <w:rsid w:val="00DC3C9A"/>
    <w:rsid w:val="00DC692B"/>
    <w:rsid w:val="00DC7DCF"/>
    <w:rsid w:val="00DD1583"/>
    <w:rsid w:val="00DD264E"/>
    <w:rsid w:val="00DD325F"/>
    <w:rsid w:val="00DD459F"/>
    <w:rsid w:val="00DD49C2"/>
    <w:rsid w:val="00DD51E4"/>
    <w:rsid w:val="00DD5228"/>
    <w:rsid w:val="00DE0AC5"/>
    <w:rsid w:val="00DE3332"/>
    <w:rsid w:val="00DE396C"/>
    <w:rsid w:val="00DE3C9D"/>
    <w:rsid w:val="00DE694C"/>
    <w:rsid w:val="00DE7C56"/>
    <w:rsid w:val="00DF0C58"/>
    <w:rsid w:val="00DF1125"/>
    <w:rsid w:val="00DF1F72"/>
    <w:rsid w:val="00DF59B3"/>
    <w:rsid w:val="00DF5B8A"/>
    <w:rsid w:val="00DF7F7C"/>
    <w:rsid w:val="00E03AD7"/>
    <w:rsid w:val="00E05EEF"/>
    <w:rsid w:val="00E13218"/>
    <w:rsid w:val="00E1484F"/>
    <w:rsid w:val="00E14C1F"/>
    <w:rsid w:val="00E2115E"/>
    <w:rsid w:val="00E24DEB"/>
    <w:rsid w:val="00E305AA"/>
    <w:rsid w:val="00E30DFE"/>
    <w:rsid w:val="00E312A0"/>
    <w:rsid w:val="00E32073"/>
    <w:rsid w:val="00E36F55"/>
    <w:rsid w:val="00E403CC"/>
    <w:rsid w:val="00E4619F"/>
    <w:rsid w:val="00E56655"/>
    <w:rsid w:val="00E5793C"/>
    <w:rsid w:val="00E57B76"/>
    <w:rsid w:val="00E619C6"/>
    <w:rsid w:val="00E639B5"/>
    <w:rsid w:val="00E65891"/>
    <w:rsid w:val="00E65AE4"/>
    <w:rsid w:val="00E66A32"/>
    <w:rsid w:val="00E67C9E"/>
    <w:rsid w:val="00E74D7E"/>
    <w:rsid w:val="00E75ABC"/>
    <w:rsid w:val="00E762E1"/>
    <w:rsid w:val="00E76359"/>
    <w:rsid w:val="00E80C7F"/>
    <w:rsid w:val="00E81ACA"/>
    <w:rsid w:val="00E85034"/>
    <w:rsid w:val="00E85994"/>
    <w:rsid w:val="00E86DE3"/>
    <w:rsid w:val="00E9082D"/>
    <w:rsid w:val="00E915D2"/>
    <w:rsid w:val="00E91821"/>
    <w:rsid w:val="00E9466C"/>
    <w:rsid w:val="00E94A81"/>
    <w:rsid w:val="00EA38EE"/>
    <w:rsid w:val="00EA557E"/>
    <w:rsid w:val="00EA7AED"/>
    <w:rsid w:val="00EB1FDA"/>
    <w:rsid w:val="00EB2AC9"/>
    <w:rsid w:val="00EB4BF1"/>
    <w:rsid w:val="00EB7CAC"/>
    <w:rsid w:val="00EC4F57"/>
    <w:rsid w:val="00EC5145"/>
    <w:rsid w:val="00EC57D1"/>
    <w:rsid w:val="00EC58F2"/>
    <w:rsid w:val="00EC748B"/>
    <w:rsid w:val="00ED22FF"/>
    <w:rsid w:val="00ED2ADD"/>
    <w:rsid w:val="00EE0DE1"/>
    <w:rsid w:val="00EE720D"/>
    <w:rsid w:val="00EF030A"/>
    <w:rsid w:val="00EF337F"/>
    <w:rsid w:val="00EF3B36"/>
    <w:rsid w:val="00EF700C"/>
    <w:rsid w:val="00F03B5D"/>
    <w:rsid w:val="00F03ED7"/>
    <w:rsid w:val="00F04EFA"/>
    <w:rsid w:val="00F04F11"/>
    <w:rsid w:val="00F21242"/>
    <w:rsid w:val="00F277BC"/>
    <w:rsid w:val="00F31F84"/>
    <w:rsid w:val="00F32269"/>
    <w:rsid w:val="00F33101"/>
    <w:rsid w:val="00F3694E"/>
    <w:rsid w:val="00F37E5A"/>
    <w:rsid w:val="00F4052A"/>
    <w:rsid w:val="00F41091"/>
    <w:rsid w:val="00F43959"/>
    <w:rsid w:val="00F5133E"/>
    <w:rsid w:val="00F55359"/>
    <w:rsid w:val="00F553D4"/>
    <w:rsid w:val="00F61DC9"/>
    <w:rsid w:val="00F71E1F"/>
    <w:rsid w:val="00F7243C"/>
    <w:rsid w:val="00F75EB3"/>
    <w:rsid w:val="00F83AD8"/>
    <w:rsid w:val="00F85B3A"/>
    <w:rsid w:val="00F8735B"/>
    <w:rsid w:val="00F87368"/>
    <w:rsid w:val="00F90A6F"/>
    <w:rsid w:val="00F91077"/>
    <w:rsid w:val="00F9285C"/>
    <w:rsid w:val="00F96E0E"/>
    <w:rsid w:val="00F97932"/>
    <w:rsid w:val="00FA265C"/>
    <w:rsid w:val="00FA7B25"/>
    <w:rsid w:val="00FB20B8"/>
    <w:rsid w:val="00FB3168"/>
    <w:rsid w:val="00FB5E9A"/>
    <w:rsid w:val="00FC0C2C"/>
    <w:rsid w:val="00FC1C98"/>
    <w:rsid w:val="00FC3674"/>
    <w:rsid w:val="00FD1DF5"/>
    <w:rsid w:val="00FD26EC"/>
    <w:rsid w:val="00FD604E"/>
    <w:rsid w:val="00FD7404"/>
    <w:rsid w:val="00FD7CA2"/>
    <w:rsid w:val="00FE1526"/>
    <w:rsid w:val="00FE26D2"/>
    <w:rsid w:val="00FE30D7"/>
    <w:rsid w:val="00FF098D"/>
    <w:rsid w:val="00FF4CAA"/>
    <w:rsid w:val="00FF5C62"/>
    <w:rsid w:val="00FF758D"/>
    <w:rsid w:val="00FF789A"/>
    <w:rsid w:val="4D59C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803A6"/>
  <w15:docId w15:val="{D5A041FC-521D-4C17-9E8B-E6C5B717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A2F"/>
    <w:pPr>
      <w:ind w:left="720"/>
      <w:contextualSpacing/>
    </w:pPr>
  </w:style>
  <w:style w:type="character" w:styleId="CommentReference">
    <w:name w:val="annotation reference"/>
    <w:basedOn w:val="DefaultParagraphFont"/>
    <w:uiPriority w:val="99"/>
    <w:semiHidden/>
    <w:unhideWhenUsed/>
    <w:rsid w:val="00D71D4F"/>
    <w:rPr>
      <w:sz w:val="16"/>
      <w:szCs w:val="16"/>
    </w:rPr>
  </w:style>
  <w:style w:type="paragraph" w:styleId="CommentText">
    <w:name w:val="annotation text"/>
    <w:basedOn w:val="Normal"/>
    <w:link w:val="CommentTextChar"/>
    <w:uiPriority w:val="99"/>
    <w:unhideWhenUsed/>
    <w:rsid w:val="00D71D4F"/>
    <w:pPr>
      <w:spacing w:line="240" w:lineRule="auto"/>
    </w:pPr>
    <w:rPr>
      <w:sz w:val="20"/>
      <w:szCs w:val="20"/>
    </w:rPr>
  </w:style>
  <w:style w:type="character" w:customStyle="1" w:styleId="CommentTextChar">
    <w:name w:val="Comment Text Char"/>
    <w:basedOn w:val="DefaultParagraphFont"/>
    <w:link w:val="CommentText"/>
    <w:uiPriority w:val="99"/>
    <w:rsid w:val="00D71D4F"/>
    <w:rPr>
      <w:sz w:val="20"/>
      <w:szCs w:val="20"/>
    </w:rPr>
  </w:style>
  <w:style w:type="paragraph" w:styleId="CommentSubject">
    <w:name w:val="annotation subject"/>
    <w:basedOn w:val="CommentText"/>
    <w:next w:val="CommentText"/>
    <w:link w:val="CommentSubjectChar"/>
    <w:uiPriority w:val="99"/>
    <w:semiHidden/>
    <w:unhideWhenUsed/>
    <w:rsid w:val="00D71D4F"/>
    <w:rPr>
      <w:b/>
      <w:bCs/>
    </w:rPr>
  </w:style>
  <w:style w:type="character" w:customStyle="1" w:styleId="CommentSubjectChar">
    <w:name w:val="Comment Subject Char"/>
    <w:basedOn w:val="CommentTextChar"/>
    <w:link w:val="CommentSubject"/>
    <w:uiPriority w:val="99"/>
    <w:semiHidden/>
    <w:rsid w:val="00D71D4F"/>
    <w:rPr>
      <w:b/>
      <w:bCs/>
      <w:sz w:val="20"/>
      <w:szCs w:val="20"/>
    </w:rPr>
  </w:style>
  <w:style w:type="paragraph" w:styleId="BalloonText">
    <w:name w:val="Balloon Text"/>
    <w:basedOn w:val="Normal"/>
    <w:link w:val="BalloonTextChar"/>
    <w:uiPriority w:val="99"/>
    <w:semiHidden/>
    <w:unhideWhenUsed/>
    <w:rsid w:val="00D71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4F"/>
    <w:rPr>
      <w:rFonts w:ascii="Tahoma" w:hAnsi="Tahoma" w:cs="Tahoma"/>
      <w:sz w:val="16"/>
      <w:szCs w:val="16"/>
    </w:rPr>
  </w:style>
  <w:style w:type="character" w:styleId="Hyperlink">
    <w:name w:val="Hyperlink"/>
    <w:basedOn w:val="DefaultParagraphFont"/>
    <w:uiPriority w:val="99"/>
    <w:unhideWhenUsed/>
    <w:rsid w:val="00D71D4F"/>
    <w:rPr>
      <w:color w:val="0000FF" w:themeColor="hyperlink"/>
      <w:u w:val="single"/>
    </w:rPr>
  </w:style>
  <w:style w:type="character" w:styleId="FollowedHyperlink">
    <w:name w:val="FollowedHyperlink"/>
    <w:basedOn w:val="DefaultParagraphFont"/>
    <w:uiPriority w:val="99"/>
    <w:semiHidden/>
    <w:unhideWhenUsed/>
    <w:rsid w:val="002134B0"/>
    <w:rPr>
      <w:color w:val="800080" w:themeColor="followedHyperlink"/>
      <w:u w:val="single"/>
    </w:rPr>
  </w:style>
  <w:style w:type="paragraph" w:styleId="Revision">
    <w:name w:val="Revision"/>
    <w:hidden/>
    <w:uiPriority w:val="99"/>
    <w:semiHidden/>
    <w:rsid w:val="00413F6A"/>
    <w:pPr>
      <w:spacing w:after="0" w:line="240" w:lineRule="auto"/>
    </w:pPr>
  </w:style>
  <w:style w:type="paragraph" w:styleId="Header">
    <w:name w:val="header"/>
    <w:basedOn w:val="Normal"/>
    <w:link w:val="HeaderChar"/>
    <w:unhideWhenUsed/>
    <w:rsid w:val="006D1FF3"/>
    <w:pPr>
      <w:tabs>
        <w:tab w:val="center" w:pos="4680"/>
        <w:tab w:val="right" w:pos="9360"/>
      </w:tabs>
      <w:spacing w:after="0" w:line="240" w:lineRule="auto"/>
    </w:pPr>
  </w:style>
  <w:style w:type="character" w:customStyle="1" w:styleId="HeaderChar">
    <w:name w:val="Header Char"/>
    <w:basedOn w:val="DefaultParagraphFont"/>
    <w:link w:val="Header"/>
    <w:rsid w:val="006D1FF3"/>
  </w:style>
  <w:style w:type="paragraph" w:styleId="Footer">
    <w:name w:val="footer"/>
    <w:basedOn w:val="Normal"/>
    <w:link w:val="FooterChar"/>
    <w:uiPriority w:val="99"/>
    <w:unhideWhenUsed/>
    <w:rsid w:val="006D1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F3"/>
  </w:style>
  <w:style w:type="table" w:customStyle="1" w:styleId="TableGrid1">
    <w:name w:val="Table Grid1"/>
    <w:basedOn w:val="TableNormal"/>
    <w:next w:val="TableGrid"/>
    <w:uiPriority w:val="59"/>
    <w:rsid w:val="0088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7D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457">
      <w:bodyDiv w:val="1"/>
      <w:marLeft w:val="0"/>
      <w:marRight w:val="0"/>
      <w:marTop w:val="0"/>
      <w:marBottom w:val="0"/>
      <w:divBdr>
        <w:top w:val="none" w:sz="0" w:space="0" w:color="auto"/>
        <w:left w:val="none" w:sz="0" w:space="0" w:color="auto"/>
        <w:bottom w:val="none" w:sz="0" w:space="0" w:color="auto"/>
        <w:right w:val="none" w:sz="0" w:space="0" w:color="auto"/>
      </w:divBdr>
    </w:div>
    <w:div w:id="172308068">
      <w:bodyDiv w:val="1"/>
      <w:marLeft w:val="0"/>
      <w:marRight w:val="0"/>
      <w:marTop w:val="0"/>
      <w:marBottom w:val="0"/>
      <w:divBdr>
        <w:top w:val="none" w:sz="0" w:space="0" w:color="auto"/>
        <w:left w:val="none" w:sz="0" w:space="0" w:color="auto"/>
        <w:bottom w:val="none" w:sz="0" w:space="0" w:color="auto"/>
        <w:right w:val="none" w:sz="0" w:space="0" w:color="auto"/>
      </w:divBdr>
    </w:div>
    <w:div w:id="253830483">
      <w:bodyDiv w:val="1"/>
      <w:marLeft w:val="0"/>
      <w:marRight w:val="0"/>
      <w:marTop w:val="0"/>
      <w:marBottom w:val="0"/>
      <w:divBdr>
        <w:top w:val="none" w:sz="0" w:space="0" w:color="auto"/>
        <w:left w:val="none" w:sz="0" w:space="0" w:color="auto"/>
        <w:bottom w:val="none" w:sz="0" w:space="0" w:color="auto"/>
        <w:right w:val="none" w:sz="0" w:space="0" w:color="auto"/>
      </w:divBdr>
    </w:div>
    <w:div w:id="318968701">
      <w:bodyDiv w:val="1"/>
      <w:marLeft w:val="0"/>
      <w:marRight w:val="0"/>
      <w:marTop w:val="0"/>
      <w:marBottom w:val="0"/>
      <w:divBdr>
        <w:top w:val="none" w:sz="0" w:space="0" w:color="auto"/>
        <w:left w:val="none" w:sz="0" w:space="0" w:color="auto"/>
        <w:bottom w:val="none" w:sz="0" w:space="0" w:color="auto"/>
        <w:right w:val="none" w:sz="0" w:space="0" w:color="auto"/>
      </w:divBdr>
    </w:div>
    <w:div w:id="523590593">
      <w:bodyDiv w:val="1"/>
      <w:marLeft w:val="0"/>
      <w:marRight w:val="0"/>
      <w:marTop w:val="0"/>
      <w:marBottom w:val="0"/>
      <w:divBdr>
        <w:top w:val="none" w:sz="0" w:space="0" w:color="auto"/>
        <w:left w:val="none" w:sz="0" w:space="0" w:color="auto"/>
        <w:bottom w:val="none" w:sz="0" w:space="0" w:color="auto"/>
        <w:right w:val="none" w:sz="0" w:space="0" w:color="auto"/>
      </w:divBdr>
    </w:div>
    <w:div w:id="560990121">
      <w:bodyDiv w:val="1"/>
      <w:marLeft w:val="0"/>
      <w:marRight w:val="0"/>
      <w:marTop w:val="0"/>
      <w:marBottom w:val="0"/>
      <w:divBdr>
        <w:top w:val="none" w:sz="0" w:space="0" w:color="auto"/>
        <w:left w:val="none" w:sz="0" w:space="0" w:color="auto"/>
        <w:bottom w:val="none" w:sz="0" w:space="0" w:color="auto"/>
        <w:right w:val="none" w:sz="0" w:space="0" w:color="auto"/>
      </w:divBdr>
    </w:div>
    <w:div w:id="777797585">
      <w:bodyDiv w:val="1"/>
      <w:marLeft w:val="0"/>
      <w:marRight w:val="0"/>
      <w:marTop w:val="0"/>
      <w:marBottom w:val="0"/>
      <w:divBdr>
        <w:top w:val="none" w:sz="0" w:space="0" w:color="auto"/>
        <w:left w:val="none" w:sz="0" w:space="0" w:color="auto"/>
        <w:bottom w:val="none" w:sz="0" w:space="0" w:color="auto"/>
        <w:right w:val="none" w:sz="0" w:space="0" w:color="auto"/>
      </w:divBdr>
    </w:div>
    <w:div w:id="887687400">
      <w:bodyDiv w:val="1"/>
      <w:marLeft w:val="0"/>
      <w:marRight w:val="0"/>
      <w:marTop w:val="0"/>
      <w:marBottom w:val="0"/>
      <w:divBdr>
        <w:top w:val="none" w:sz="0" w:space="0" w:color="auto"/>
        <w:left w:val="none" w:sz="0" w:space="0" w:color="auto"/>
        <w:bottom w:val="none" w:sz="0" w:space="0" w:color="auto"/>
        <w:right w:val="none" w:sz="0" w:space="0" w:color="auto"/>
      </w:divBdr>
    </w:div>
    <w:div w:id="890920655">
      <w:bodyDiv w:val="1"/>
      <w:marLeft w:val="0"/>
      <w:marRight w:val="0"/>
      <w:marTop w:val="0"/>
      <w:marBottom w:val="0"/>
      <w:divBdr>
        <w:top w:val="none" w:sz="0" w:space="0" w:color="auto"/>
        <w:left w:val="none" w:sz="0" w:space="0" w:color="auto"/>
        <w:bottom w:val="none" w:sz="0" w:space="0" w:color="auto"/>
        <w:right w:val="none" w:sz="0" w:space="0" w:color="auto"/>
      </w:divBdr>
      <w:divsChild>
        <w:div w:id="1779449117">
          <w:marLeft w:val="0"/>
          <w:marRight w:val="0"/>
          <w:marTop w:val="0"/>
          <w:marBottom w:val="0"/>
          <w:divBdr>
            <w:top w:val="none" w:sz="0" w:space="0" w:color="auto"/>
            <w:left w:val="none" w:sz="0" w:space="0" w:color="auto"/>
            <w:bottom w:val="none" w:sz="0" w:space="0" w:color="auto"/>
            <w:right w:val="none" w:sz="0" w:space="0" w:color="auto"/>
          </w:divBdr>
        </w:div>
      </w:divsChild>
    </w:div>
    <w:div w:id="1430546445">
      <w:bodyDiv w:val="1"/>
      <w:marLeft w:val="0"/>
      <w:marRight w:val="0"/>
      <w:marTop w:val="0"/>
      <w:marBottom w:val="0"/>
      <w:divBdr>
        <w:top w:val="none" w:sz="0" w:space="0" w:color="auto"/>
        <w:left w:val="none" w:sz="0" w:space="0" w:color="auto"/>
        <w:bottom w:val="none" w:sz="0" w:space="0" w:color="auto"/>
        <w:right w:val="none" w:sz="0" w:space="0" w:color="auto"/>
      </w:divBdr>
    </w:div>
    <w:div w:id="1652055592">
      <w:bodyDiv w:val="1"/>
      <w:marLeft w:val="0"/>
      <w:marRight w:val="0"/>
      <w:marTop w:val="0"/>
      <w:marBottom w:val="0"/>
      <w:divBdr>
        <w:top w:val="none" w:sz="0" w:space="0" w:color="auto"/>
        <w:left w:val="none" w:sz="0" w:space="0" w:color="auto"/>
        <w:bottom w:val="none" w:sz="0" w:space="0" w:color="auto"/>
        <w:right w:val="none" w:sz="0" w:space="0" w:color="auto"/>
      </w:divBdr>
    </w:div>
    <w:div w:id="1749695996">
      <w:bodyDiv w:val="1"/>
      <w:marLeft w:val="0"/>
      <w:marRight w:val="0"/>
      <w:marTop w:val="0"/>
      <w:marBottom w:val="0"/>
      <w:divBdr>
        <w:top w:val="none" w:sz="0" w:space="0" w:color="auto"/>
        <w:left w:val="none" w:sz="0" w:space="0" w:color="auto"/>
        <w:bottom w:val="none" w:sz="0" w:space="0" w:color="auto"/>
        <w:right w:val="none" w:sz="0" w:space="0" w:color="auto"/>
      </w:divBdr>
    </w:div>
    <w:div w:id="1921059355">
      <w:bodyDiv w:val="1"/>
      <w:marLeft w:val="0"/>
      <w:marRight w:val="0"/>
      <w:marTop w:val="0"/>
      <w:marBottom w:val="0"/>
      <w:divBdr>
        <w:top w:val="none" w:sz="0" w:space="0" w:color="auto"/>
        <w:left w:val="none" w:sz="0" w:space="0" w:color="auto"/>
        <w:bottom w:val="none" w:sz="0" w:space="0" w:color="auto"/>
        <w:right w:val="none" w:sz="0" w:space="0" w:color="auto"/>
      </w:divBdr>
      <w:divsChild>
        <w:div w:id="90780422">
          <w:marLeft w:val="-108"/>
          <w:marRight w:val="0"/>
          <w:marTop w:val="0"/>
          <w:marBottom w:val="0"/>
          <w:divBdr>
            <w:top w:val="none" w:sz="0" w:space="0" w:color="auto"/>
            <w:left w:val="none" w:sz="0" w:space="0" w:color="auto"/>
            <w:bottom w:val="none" w:sz="0" w:space="0" w:color="auto"/>
            <w:right w:val="none" w:sz="0" w:space="0" w:color="auto"/>
          </w:divBdr>
        </w:div>
      </w:divsChild>
    </w:div>
    <w:div w:id="2050915945">
      <w:bodyDiv w:val="1"/>
      <w:marLeft w:val="0"/>
      <w:marRight w:val="0"/>
      <w:marTop w:val="0"/>
      <w:marBottom w:val="0"/>
      <w:divBdr>
        <w:top w:val="none" w:sz="0" w:space="0" w:color="auto"/>
        <w:left w:val="none" w:sz="0" w:space="0" w:color="auto"/>
        <w:bottom w:val="none" w:sz="0" w:space="0" w:color="auto"/>
        <w:right w:val="none" w:sz="0" w:space="0" w:color="auto"/>
      </w:divBdr>
    </w:div>
    <w:div w:id="2101873777">
      <w:bodyDiv w:val="1"/>
      <w:marLeft w:val="0"/>
      <w:marRight w:val="0"/>
      <w:marTop w:val="0"/>
      <w:marBottom w:val="0"/>
      <w:divBdr>
        <w:top w:val="none" w:sz="0" w:space="0" w:color="auto"/>
        <w:left w:val="none" w:sz="0" w:space="0" w:color="auto"/>
        <w:bottom w:val="none" w:sz="0" w:space="0" w:color="auto"/>
        <w:right w:val="none" w:sz="0" w:space="0" w:color="auto"/>
      </w:divBdr>
      <w:divsChild>
        <w:div w:id="768818350">
          <w:marLeft w:val="0"/>
          <w:marRight w:val="0"/>
          <w:marTop w:val="0"/>
          <w:marBottom w:val="0"/>
          <w:divBdr>
            <w:top w:val="none" w:sz="0" w:space="0" w:color="auto"/>
            <w:left w:val="none" w:sz="0" w:space="0" w:color="auto"/>
            <w:bottom w:val="none" w:sz="0" w:space="0" w:color="auto"/>
            <w:right w:val="none" w:sz="0" w:space="0" w:color="auto"/>
          </w:divBdr>
        </w:div>
        <w:div w:id="1187016587">
          <w:marLeft w:val="0"/>
          <w:marRight w:val="0"/>
          <w:marTop w:val="0"/>
          <w:marBottom w:val="0"/>
          <w:divBdr>
            <w:top w:val="none" w:sz="0" w:space="0" w:color="auto"/>
            <w:left w:val="none" w:sz="0" w:space="0" w:color="auto"/>
            <w:bottom w:val="none" w:sz="0" w:space="0" w:color="auto"/>
            <w:right w:val="none" w:sz="0" w:space="0" w:color="auto"/>
          </w:divBdr>
        </w:div>
        <w:div w:id="1361394999">
          <w:marLeft w:val="0"/>
          <w:marRight w:val="0"/>
          <w:marTop w:val="0"/>
          <w:marBottom w:val="0"/>
          <w:divBdr>
            <w:top w:val="none" w:sz="0" w:space="0" w:color="auto"/>
            <w:left w:val="none" w:sz="0" w:space="0" w:color="auto"/>
            <w:bottom w:val="none" w:sz="0" w:space="0" w:color="auto"/>
            <w:right w:val="none" w:sz="0" w:space="0" w:color="auto"/>
          </w:divBdr>
        </w:div>
        <w:div w:id="1624992692">
          <w:marLeft w:val="0"/>
          <w:marRight w:val="0"/>
          <w:marTop w:val="0"/>
          <w:marBottom w:val="0"/>
          <w:divBdr>
            <w:top w:val="none" w:sz="0" w:space="0" w:color="auto"/>
            <w:left w:val="none" w:sz="0" w:space="0" w:color="auto"/>
            <w:bottom w:val="none" w:sz="0" w:space="0" w:color="auto"/>
            <w:right w:val="none" w:sz="0" w:space="0" w:color="auto"/>
          </w:divBdr>
        </w:div>
        <w:div w:id="1634015669">
          <w:marLeft w:val="0"/>
          <w:marRight w:val="0"/>
          <w:marTop w:val="0"/>
          <w:marBottom w:val="0"/>
          <w:divBdr>
            <w:top w:val="none" w:sz="0" w:space="0" w:color="auto"/>
            <w:left w:val="none" w:sz="0" w:space="0" w:color="auto"/>
            <w:bottom w:val="none" w:sz="0" w:space="0" w:color="auto"/>
            <w:right w:val="none" w:sz="0" w:space="0" w:color="auto"/>
          </w:divBdr>
        </w:div>
        <w:div w:id="1768772469">
          <w:marLeft w:val="0"/>
          <w:marRight w:val="0"/>
          <w:marTop w:val="0"/>
          <w:marBottom w:val="0"/>
          <w:divBdr>
            <w:top w:val="none" w:sz="0" w:space="0" w:color="auto"/>
            <w:left w:val="none" w:sz="0" w:space="0" w:color="auto"/>
            <w:bottom w:val="none" w:sz="0" w:space="0" w:color="auto"/>
            <w:right w:val="none" w:sz="0" w:space="0" w:color="auto"/>
          </w:divBdr>
        </w:div>
        <w:div w:id="2023700320">
          <w:marLeft w:val="0"/>
          <w:marRight w:val="0"/>
          <w:marTop w:val="0"/>
          <w:marBottom w:val="0"/>
          <w:divBdr>
            <w:top w:val="none" w:sz="0" w:space="0" w:color="auto"/>
            <w:left w:val="none" w:sz="0" w:space="0" w:color="auto"/>
            <w:bottom w:val="none" w:sz="0" w:space="0" w:color="auto"/>
            <w:right w:val="none" w:sz="0" w:space="0" w:color="auto"/>
          </w:divBdr>
        </w:div>
        <w:div w:id="2081293377">
          <w:marLeft w:val="0"/>
          <w:marRight w:val="0"/>
          <w:marTop w:val="0"/>
          <w:marBottom w:val="0"/>
          <w:divBdr>
            <w:top w:val="none" w:sz="0" w:space="0" w:color="auto"/>
            <w:left w:val="none" w:sz="0" w:space="0" w:color="auto"/>
            <w:bottom w:val="none" w:sz="0" w:space="0" w:color="auto"/>
            <w:right w:val="none" w:sz="0" w:space="0" w:color="auto"/>
          </w:divBdr>
        </w:div>
      </w:divsChild>
    </w:div>
    <w:div w:id="2138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A51D2F7E19DE498935213F56D38DBF" ma:contentTypeVersion="9" ma:contentTypeDescription="Create a new document." ma:contentTypeScope="" ma:versionID="329d6145224017b5ac7401a0b6cba580">
  <xsd:schema xmlns:xsd="http://www.w3.org/2001/XMLSchema" xmlns:xs="http://www.w3.org/2001/XMLSchema" xmlns:p="http://schemas.microsoft.com/office/2006/metadata/properties" xmlns:ns2="4e68ec4e-bc40-4c34-8d16-daca5267078e" xmlns:ns3="0fbe1cf0-bf00-49fb-b103-6fbc494088fb" targetNamespace="http://schemas.microsoft.com/office/2006/metadata/properties" ma:root="true" ma:fieldsID="4c623353e2ed618bac416f1b330b3560" ns2:_="" ns3:_="">
    <xsd:import namespace="4e68ec4e-bc40-4c34-8d16-daca5267078e"/>
    <xsd:import namespace="0fbe1cf0-bf00-49fb-b103-6fbc49408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8ec4e-bc40-4c34-8d16-daca52670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e1cf0-bf00-49fb-b103-6fbc494088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5AC4B-D39A-4BB0-8339-2DE9439E3D63}">
  <ds:schemaRefs>
    <ds:schemaRef ds:uri="http://schemas.openxmlformats.org/officeDocument/2006/bibliography"/>
  </ds:schemaRefs>
</ds:datastoreItem>
</file>

<file path=customXml/itemProps2.xml><?xml version="1.0" encoding="utf-8"?>
<ds:datastoreItem xmlns:ds="http://schemas.openxmlformats.org/officeDocument/2006/customXml" ds:itemID="{D8B4ADA3-21CA-40B6-B81E-A1AC3E6BBF82}">
  <ds:schemaRefs>
    <ds:schemaRef ds:uri="http://schemas.microsoft.com/sharepoint/v3/contenttype/forms"/>
  </ds:schemaRefs>
</ds:datastoreItem>
</file>

<file path=customXml/itemProps3.xml><?xml version="1.0" encoding="utf-8"?>
<ds:datastoreItem xmlns:ds="http://schemas.openxmlformats.org/officeDocument/2006/customXml" ds:itemID="{E4B4E7D9-D8CE-4616-9EE4-74CEE8CCEACB}">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0fbe1cf0-bf00-49fb-b103-6fbc494088fb"/>
    <ds:schemaRef ds:uri="4e68ec4e-bc40-4c34-8d16-daca5267078e"/>
  </ds:schemaRefs>
</ds:datastoreItem>
</file>

<file path=customXml/itemProps4.xml><?xml version="1.0" encoding="utf-8"?>
<ds:datastoreItem xmlns:ds="http://schemas.openxmlformats.org/officeDocument/2006/customXml" ds:itemID="{196371E1-7E7C-4533-B894-E0681857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8ec4e-bc40-4c34-8d16-daca5267078e"/>
    <ds:schemaRef ds:uri="0fbe1cf0-bf00-49fb-b103-6fbc49408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12303</CharactersWithSpaces>
  <SharedDoc>false</SharedDoc>
  <HLinks>
    <vt:vector size="18" baseType="variant">
      <vt:variant>
        <vt:i4>1310796</vt:i4>
      </vt:variant>
      <vt:variant>
        <vt:i4>6</vt:i4>
      </vt:variant>
      <vt:variant>
        <vt:i4>0</vt:i4>
      </vt:variant>
      <vt:variant>
        <vt:i4>5</vt:i4>
      </vt:variant>
      <vt:variant>
        <vt:lpwstr>https://www.azahcccs.gov/shared/Downloads/MedicalPolicyManual/200/280.pdf</vt:lpwstr>
      </vt:variant>
      <vt:variant>
        <vt:lpwstr/>
      </vt:variant>
      <vt:variant>
        <vt:i4>2555956</vt:i4>
      </vt:variant>
      <vt:variant>
        <vt:i4>3</vt:i4>
      </vt:variant>
      <vt:variant>
        <vt:i4>0</vt:i4>
      </vt:variant>
      <vt:variant>
        <vt:i4>5</vt:i4>
      </vt:variant>
      <vt:variant>
        <vt:lpwstr>https://azahcccs.gov/PlansProviders/Downloads/RFPInfo/YH19/ACC_RFP_11022017.pdf</vt:lpwstr>
      </vt:variant>
      <vt:variant>
        <vt:lpwstr/>
      </vt:variant>
      <vt:variant>
        <vt:i4>1572963</vt:i4>
      </vt:variant>
      <vt:variant>
        <vt:i4>0</vt:i4>
      </vt:variant>
      <vt:variant>
        <vt:i4>0</vt:i4>
      </vt:variant>
      <vt:variant>
        <vt:i4>5</vt:i4>
      </vt:variant>
      <vt:variant>
        <vt:lpwstr>https://azahcccs.gov/PlansProviders/Downloads/RFPInfo/YH18/ReqForProp/ReqForProp_Solicitation.pdf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Ambur, Julie</dc:creator>
  <cp:keywords/>
  <cp:lastModifiedBy>Ambur, Julie</cp:lastModifiedBy>
  <cp:revision>805</cp:revision>
  <dcterms:created xsi:type="dcterms:W3CDTF">2016-04-26T18:05:00Z</dcterms:created>
  <dcterms:modified xsi:type="dcterms:W3CDTF">2023-06-09T16:09:00Z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0x010100F2A51D2F7E19DE498935213F56D38DBF</vt:lpwstr>
  </property>
</Properties>
</file>